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68" w:rsidRPr="00B92BEB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BEB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E2268" w:rsidRPr="00B92BEB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BEB">
        <w:rPr>
          <w:rFonts w:ascii="Times New Roman" w:hAnsi="Times New Roman" w:cs="Times New Roman"/>
          <w:sz w:val="20"/>
          <w:szCs w:val="20"/>
        </w:rPr>
        <w:t xml:space="preserve">к </w:t>
      </w:r>
      <w:r w:rsidR="00CD01F0" w:rsidRPr="00B92BEB">
        <w:rPr>
          <w:rFonts w:ascii="Times New Roman" w:hAnsi="Times New Roman" w:cs="Times New Roman"/>
          <w:sz w:val="20"/>
          <w:szCs w:val="20"/>
        </w:rPr>
        <w:t>тендерной документации</w:t>
      </w:r>
    </w:p>
    <w:p w:rsidR="00FE2268" w:rsidRPr="00B455DD" w:rsidRDefault="00FE2268" w:rsidP="00944B4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268" w:rsidRPr="00EF39F6" w:rsidRDefault="005F69F4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>«Утверждаю</w:t>
      </w:r>
    </w:p>
    <w:p w:rsidR="005F69F4" w:rsidRPr="00EF39F6" w:rsidRDefault="005F69F4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>Главный врач</w:t>
      </w:r>
    </w:p>
    <w:p w:rsidR="00EF738E" w:rsidRPr="00EF39F6" w:rsidRDefault="00FE2268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Cs/>
          <w:sz w:val="20"/>
          <w:szCs w:val="20"/>
        </w:rPr>
        <w:t>КГП на ПХВ</w:t>
      </w:r>
      <w:r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39F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EF39F6" w:rsidRPr="00EF39F6"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 w:rsidR="00EF39F6" w:rsidRPr="00EF39F6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81259D"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</w:p>
    <w:p w:rsidR="00FE2268" w:rsidRPr="00EF39F6" w:rsidRDefault="0081259D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F39F6">
        <w:rPr>
          <w:rFonts w:ascii="Times New Roman" w:hAnsi="Times New Roman" w:cs="Times New Roman"/>
          <w:bCs/>
          <w:sz w:val="20"/>
          <w:szCs w:val="20"/>
        </w:rPr>
        <w:t xml:space="preserve">УЗ Области Абай </w:t>
      </w:r>
    </w:p>
    <w:p w:rsidR="009B23B0" w:rsidRPr="00B92BEB" w:rsidRDefault="004D4FC1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2BEB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B23B0" w:rsidRPr="00B92BEB">
        <w:rPr>
          <w:rFonts w:ascii="Times New Roman" w:hAnsi="Times New Roman" w:cs="Times New Roman"/>
          <w:b/>
          <w:bCs/>
          <w:sz w:val="20"/>
          <w:szCs w:val="20"/>
        </w:rPr>
        <w:t>Приказ №</w:t>
      </w:r>
      <w:r w:rsidR="00B92BEB" w:rsidRPr="00B92BEB">
        <w:rPr>
          <w:rFonts w:ascii="Times New Roman" w:hAnsi="Times New Roman" w:cs="Times New Roman"/>
          <w:b/>
          <w:bCs/>
          <w:sz w:val="20"/>
          <w:szCs w:val="20"/>
        </w:rPr>
        <w:t>99</w:t>
      </w:r>
    </w:p>
    <w:p w:rsidR="00FE2268" w:rsidRPr="001338AD" w:rsidRDefault="00EF738E" w:rsidP="00944B4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2BEB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B92BEB" w:rsidRPr="00B92BEB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B92BE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B23B0" w:rsidRPr="00B92BE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92BEB" w:rsidRPr="00B92BE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B23B0" w:rsidRPr="00B92BEB">
        <w:rPr>
          <w:rFonts w:ascii="Times New Roman" w:hAnsi="Times New Roman" w:cs="Times New Roman"/>
          <w:b/>
          <w:bCs/>
          <w:sz w:val="20"/>
          <w:szCs w:val="20"/>
        </w:rPr>
        <w:t>. 2024 года</w:t>
      </w:r>
    </w:p>
    <w:p w:rsidR="00FE2268" w:rsidRPr="001338AD" w:rsidRDefault="00FE2268" w:rsidP="00944B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2268" w:rsidRPr="001338AD" w:rsidRDefault="00FE2268" w:rsidP="00944B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2268" w:rsidRPr="001338AD" w:rsidRDefault="00FE2268" w:rsidP="00944B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338AD">
        <w:rPr>
          <w:rFonts w:ascii="Times New Roman" w:hAnsi="Times New Roman" w:cs="Times New Roman"/>
          <w:b/>
          <w:bCs/>
          <w:iCs/>
          <w:sz w:val="20"/>
          <w:szCs w:val="20"/>
        </w:rPr>
        <w:t>Техническая спецификация</w:t>
      </w:r>
    </w:p>
    <w:p w:rsidR="00FE2268" w:rsidRPr="001338AD" w:rsidRDefault="00FE2268" w:rsidP="00944B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  <w:r w:rsidRPr="001338AD">
        <w:rPr>
          <w:rFonts w:ascii="Times New Roman" w:hAnsi="Times New Roman" w:cs="Times New Roman"/>
          <w:b/>
          <w:bCs/>
          <w:iCs/>
          <w:sz w:val="20"/>
          <w:szCs w:val="20"/>
        </w:rPr>
        <w:t>по закупу медицинских изделий</w:t>
      </w:r>
    </w:p>
    <w:p w:rsidR="00FE2268" w:rsidRPr="001338AD" w:rsidRDefault="00FE2268" w:rsidP="00944B40">
      <w:pPr>
        <w:spacing w:after="0" w:line="240" w:lineRule="auto"/>
        <w:ind w:right="13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092" w:rsidRPr="00B455DD" w:rsidRDefault="00FE2268" w:rsidP="00B455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1338A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Лот №1 </w:t>
      </w:r>
      <w:r w:rsidR="00B455DD" w:rsidRPr="00B455DD">
        <w:rPr>
          <w:rFonts w:ascii="Times New Roman" w:eastAsia="Times New Roman" w:hAnsi="Times New Roman" w:cs="Times New Roman"/>
          <w:bCs/>
          <w:color w:val="000000" w:themeColor="text1"/>
        </w:rPr>
        <w:t>Дефибриллятор 6 фазный с функцией синхронизации</w:t>
      </w:r>
      <w:r w:rsidR="00B455DD" w:rsidRPr="0005106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</w:t>
      </w:r>
    </w:p>
    <w:p w:rsidR="00E57092" w:rsidRPr="001338AD" w:rsidRDefault="00E57092" w:rsidP="00B455D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567"/>
        <w:gridCol w:w="2126"/>
        <w:gridCol w:w="5387"/>
        <w:gridCol w:w="992"/>
      </w:tblGrid>
      <w:tr w:rsidR="00B455DD" w:rsidRPr="00FE64C1" w:rsidTr="00B455DD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455DD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B455DD" w:rsidRPr="000D52F7" w:rsidRDefault="00B455DD" w:rsidP="00B455D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DD" w:rsidRPr="00B455DD" w:rsidRDefault="00B455DD" w:rsidP="00B4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455DD" w:rsidRPr="00B455DD" w:rsidRDefault="00B455DD" w:rsidP="00B455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Дефибриллятор 6 фазный с функцией синхронизации  </w:t>
            </w:r>
          </w:p>
        </w:tc>
      </w:tr>
      <w:tr w:rsidR="00B455DD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DD" w:rsidRPr="00FE64C1" w:rsidRDefault="00B455DD" w:rsidP="00B455DD">
            <w:pPr>
              <w:spacing w:after="0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B455DD" w:rsidRPr="000D52F7" w:rsidTr="00B455DD">
        <w:trPr>
          <w:trHeight w:val="6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55DD" w:rsidRPr="000F2C4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комплектующего к МТ </w:t>
            </w:r>
          </w:p>
          <w:p w:rsidR="00B455DD" w:rsidRPr="000D52F7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 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техническая характеристика комплектующего к 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0F2C41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Требуемое количество</w:t>
            </w:r>
          </w:p>
          <w:p w:rsidR="00B455DD" w:rsidRPr="000D52F7" w:rsidRDefault="00B455DD" w:rsidP="00B455DD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2F7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B455DD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не хуже:</w:t>
            </w:r>
          </w:p>
        </w:tc>
      </w:tr>
      <w:tr w:rsidR="00B455DD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35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Дефибриллятор-монитор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термопринтером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BF3816" w:rsidRDefault="00B455DD" w:rsidP="00B4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Общая характеристика: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дефибрилятора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- внешняя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дефибрилляция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Дисплей цветной жидкокристаллический – наличие. Размер, не менее 7.0 дюймов. Разрешение, не менее 800 х 480. Кол-во волн на экране не менее 3. Индикация: Тревоги, питание, заряд батарей – наличие. Экспорт данных на ПК с помощью USB-накопителя – наличие. Тревоги: Визуальная, 3 уровня громкости звуковой сигнализации – наличие. Лампа тревоги – наличие. Возрастные группы пациентов: Взрослые, дети,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новорожненные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наличие.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Li-ion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батарея не менее 5600mAh – наличие. Время зарядки батареи: до 80% не более двух часов, до 100% не более трех часов. Рабочее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время батареи: Режим мониторинга не менее 2 часов. Режим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не менее 100 разрядов по 360Дж. Режим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не менее 2 часов (с нагрузкой 50 Ом, частота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80 уд/мин, выходной сигнал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60 мА).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Дефибриллятор: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Режим мониторинга – наличие. Режим ручной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наличие. Режим АНД (полуавтоматическая внешняя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дефибрилляция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 – наличие. Режим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наружной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наличие. Форма импульса: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полусинусоида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Погрешность энергии: не </w:t>
            </w:r>
            <w:proofErr w:type="gram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более  ±</w:t>
            </w:r>
            <w:proofErr w:type="gram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2 Дж или 15% от заданного значения (в зависимости от того, что больше) при импедансе 25-175 Ом. Время зарядки: не более 5 секунд до 200Дж при полностью заряженной батарее, не более 8 секунд до 360 Дж при полностью заряженной батарее. Разряда: через многофункциональные накладные электроды дефибриллятора или разрядные электроды. Диапазон импеданса пациента: от 25 до 175Ом (внешняя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дефибрилляция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). Выходная энергия: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1, 2, 3, 4, 5, 6, 7, 8, 9, 10, 15, 20, 30, 50, 70, 100, 150, 170, 200, 300, 360 Дж. Синхронная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кардиоверсия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передача энергии начинается в пределах 60мс от пика QRS. Кривая: однофазная прямоугольная импульсная. Ширина импульса: ±20мс, 5%. Рефрактерный период: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200-300мс, ±3%. Режим стимуляции: по запросу или фиксированный. Частота стимуляции: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40-170им./мин, ±1.5%. Выходной сигнал стимуляции: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0-200мА, ±5% или 5мА. Стимуляция: 0,044444444. </w:t>
            </w:r>
            <w:r w:rsidRPr="00BF381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АНД: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Серия разрядов: Уровень энергии: от 100 до 360 Дж (регулируется), разряды: 1, 2, 3 (регулируется). Пригодный для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ритм: ЖФ, ЖТ (ЧСС&gt;150уд/мин, и ширина QRS&gt;120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мс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Мониторируемые</w:t>
            </w:r>
            <w:proofErr w:type="spellEnd"/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параметры: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ЭКГ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(наличие)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3/5 отведений – наличие. Выбор отведений не хуже: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II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III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aVR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aVL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aVF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V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Скорость развертки не менее: 6,25 мм/сек, 12,5 мм/сек, 25 мм/сек, 50 мм/сек. Полоса пропускания: режим диагностики не менее от 0,05 до 150 Гц, режим мониторинга не менее от 0,5 до 40 Гц, режим терапии не менее от 1 до 20 Гц. Защита от ВЧ-коагулятора – наличие. Защита от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наличие. Анализ аритмий – наличие.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ЧСС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(наличие)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Диапазон измерений не менее: взрослые 15-300 уд/мин, дети/новорожденные 15-350 уд/мин. Погрешность не хуже ±1% или ±1 уд/мин, большее из значений. Разрешение не более 1 уд/мин.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Дыхание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(наличие)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Методика: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трансторакальный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импеданс. Диапазон измерений не менее: взрослые 0–120, дети/новорожденные 0-150. Время тревоги по апноэ не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менее: 10 с, 15 с, 20 с, 25 с, 30 с, 35 с, 40 с.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SpO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2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наличие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Диапазон измерений не менее 0 – 100%. Разрешение не более 1%. Точность не хуже ±2% (70-100%). Диапазон частоты пульса не менее 20–254 </w:t>
            </w:r>
            <w:proofErr w:type="gram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в мин</w:t>
            </w:r>
            <w:proofErr w:type="gram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разрешение не более 1 уд., точность не хуже ±1 уд.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НИАД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наличие</w:t>
            </w:r>
            <w:r w:rsidR="005F6BA9"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)</w:t>
            </w:r>
            <w:r w:rsidR="005F6BA9"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F6BA9"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Метод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осциллометрический. Режимы: ручной / автоматический. Измеряемые параметры: систолическое, диастолическое и среднее давление, частота пульса. Диапазон измерений не менее: взрослые 15 – 270 мм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дети 15 – 200 мм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новорожденные 10 - 135 мм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Тревоги: систол., сред., диастол. Давление. Разрешение не более 1 мм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Единицы измерения: мм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кРа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(по выбору пользователя). Защита от избыточного давления – наличие. </w:t>
            </w:r>
            <w:proofErr w:type="spellStart"/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Капнометрия</w:t>
            </w:r>
            <w:proofErr w:type="spellEnd"/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 (ЕТСО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(опционально)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Метод инфракрасная абсорбция. Диапазон измерений не менее 0 – 99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Разрешение не более 1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Точность не хуже: ±2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(0-40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), ±5% (41-76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), ±10% (77-99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ммHg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). Положение датчика: </w:t>
            </w:r>
            <w:proofErr w:type="spellStart"/>
            <w:r w:rsidRPr="00B92BEB">
              <w:rPr>
                <w:rFonts w:ascii="Times New Roman" w:eastAsia="SimSun" w:hAnsi="Times New Roman" w:cs="Times New Roman"/>
                <w:sz w:val="20"/>
                <w:szCs w:val="20"/>
              </w:rPr>
              <w:t>Sidestream</w:t>
            </w:r>
            <w:proofErr w:type="spellEnd"/>
            <w:r w:rsidRPr="00B92BEB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Показания на дисплее: </w:t>
            </w:r>
            <w:proofErr w:type="spell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Fi</w:t>
            </w:r>
            <w:proofErr w:type="spellEnd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 ЕТ. 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Термопринтер 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(наличие)</w:t>
            </w:r>
            <w:r w:rsidRPr="00BF381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:</w:t>
            </w:r>
            <w:r w:rsidRPr="00BF3816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Ширина </w:t>
            </w:r>
            <w:proofErr w:type="gramStart"/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бумаги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не</w:t>
            </w:r>
            <w:proofErr w:type="gramEnd"/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50 мм. Скорость печати </w:t>
            </w:r>
            <w:r w:rsidR="005F3F3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не менее </w:t>
            </w:r>
            <w:r w:rsidRPr="00BF3816">
              <w:rPr>
                <w:rFonts w:ascii="Times New Roman" w:eastAsia="SimSun" w:hAnsi="Times New Roman" w:cs="Times New Roman"/>
                <w:sz w:val="20"/>
                <w:szCs w:val="20"/>
              </w:rPr>
              <w:t>25; 50 мм/сек.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</w:p>
        </w:tc>
      </w:tr>
      <w:tr w:rsidR="00B455DD" w:rsidRPr="00FE64C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не хуже:</w:t>
            </w:r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ЭКГ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Кабель ЭКГ на 5 отведений в комплекте с отведениями и ЭКГ электродами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Набор внешних электродов для</w:t>
            </w:r>
          </w:p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дефибрилляции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электродов внешних многоразовых ("утюги") для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 (для взрослых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- 1</w:t>
            </w: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, детей и новорожденных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- 1</w:t>
            </w: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Набор внешних одноразовых электродов для </w:t>
            </w:r>
            <w:proofErr w:type="spellStart"/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кардиостимуляции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Набор внешних электродов для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, АНД, одноразовый,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: - 1 набор мультифункциональных электродов для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, одноразовый; - 1 кабель для мультифункциональных электродов с тестовой нагрузкой (500м)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Аккумуляторная батарея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Встроенный аккумулятор литий-ионный, не менее 5600мАч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Манжета НИАД многоразовая </w:t>
            </w:r>
            <w:r w:rsidR="005F3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(25-35 см) с трубкой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взрослая</w:t>
            </w: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Манжета НИАД многоразовая </w:t>
            </w:r>
            <w:r w:rsidR="005F3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менее </w:t>
            </w: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см) с трубкой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693EF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Удлинитель</w:t>
            </w:r>
            <w:r w:rsidR="005F6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3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SpO2 7Pin, 2,5</w:t>
            </w: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693EF1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 xml:space="preserve">Датчик многоразовый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2, для взрослых, для пальца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693EF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 xml:space="preserve">Датчик многоразовый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2,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, для пальца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Монтажный комплект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F1">
              <w:rPr>
                <w:rFonts w:ascii="Times New Roman" w:hAnsi="Times New Roman" w:cs="Times New Roman"/>
                <w:sz w:val="20"/>
                <w:szCs w:val="20"/>
              </w:rPr>
              <w:t>Комплект для монтажа на стену /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579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</w:tr>
      <w:tr w:rsidR="00B455DD" w:rsidRPr="00E5791C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Принтер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Встроенный термопринтер, включая 3 рулона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E5791C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B455DD" w:rsidRPr="00357DAF" w:rsidTr="00B455DD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B455DD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357DAF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357DAF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5DD" w:rsidRPr="00FE64C1" w:rsidTr="00B455DD">
        <w:trPr>
          <w:trHeight w:val="1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не хуже</w:t>
            </w:r>
            <w:r w:rsidRPr="00FE64C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455DD" w:rsidRPr="00FE64C1" w:rsidTr="00B455DD"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575792" w:rsidRDefault="00B455DD" w:rsidP="00B455DD">
            <w:pPr>
              <w:pStyle w:val="2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Бумага для принтера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CAD">
              <w:rPr>
                <w:rFonts w:ascii="Times New Roman" w:hAnsi="Times New Roman" w:cs="Times New Roman"/>
                <w:sz w:val="20"/>
                <w:szCs w:val="20"/>
              </w:rPr>
              <w:t xml:space="preserve">Термобумага </w:t>
            </w:r>
            <w:r w:rsidR="005F3F31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 w:rsidRPr="00447CAD">
              <w:rPr>
                <w:rFonts w:ascii="Times New Roman" w:hAnsi="Times New Roman" w:cs="Times New Roman"/>
                <w:sz w:val="20"/>
                <w:szCs w:val="20"/>
              </w:rPr>
              <w:t>(50 мм * 20м)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7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DA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B455DD" w:rsidRPr="00FE64C1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FE64C1" w:rsidRDefault="00B455DD" w:rsidP="00B455DD">
            <w:pPr>
              <w:shd w:val="clear" w:color="auto" w:fill="FFFFFF"/>
              <w:tabs>
                <w:tab w:val="left" w:pos="278"/>
                <w:tab w:val="left" w:pos="312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Электропитание: стандар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 электрическая сеть 220</w:t>
            </w:r>
            <w:r w:rsidRPr="00F456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F456A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, 50 Гц.</w:t>
            </w:r>
            <w:r w:rsidRPr="00F45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5DD" w:rsidRPr="009B7F75" w:rsidTr="00B455DD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A9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 пункт назначения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B455DD" w:rsidRPr="009B7F75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</w:rPr>
              <w:t xml:space="preserve">область Абай,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Жарминский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с.Калбатау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Мустанбаева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</w:tc>
      </w:tr>
      <w:tr w:rsidR="00B455DD" w:rsidRPr="00FE64C1" w:rsidTr="00B455D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МТ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Default="00B455DD" w:rsidP="005F6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Адрес: 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область Абай,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Жарминский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с.Калбатау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Мустанбаева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  <w:p w:rsidR="00B455DD" w:rsidRPr="00FE64C1" w:rsidRDefault="00B455DD" w:rsidP="00B455DD">
            <w:pPr>
              <w:pStyle w:val="a4"/>
              <w:jc w:val="center"/>
              <w:rPr>
                <w:sz w:val="20"/>
                <w:szCs w:val="20"/>
              </w:rPr>
            </w:pPr>
            <w:r>
              <w:t>Срок поставки: 90 календарных дней</w:t>
            </w:r>
          </w:p>
        </w:tc>
      </w:tr>
      <w:tr w:rsidR="00B455DD" w:rsidRPr="00FE64C1" w:rsidTr="00B455DD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DD" w:rsidRPr="00FE64C1" w:rsidRDefault="00B455DD" w:rsidP="00B45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FE2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замену отработавших ресурс составных частей;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замене или восстановлении отдельных частей медицинской техники;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блочно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-узловой разборкой);</w:t>
            </w:r>
          </w:p>
          <w:p w:rsidR="00B455DD" w:rsidRPr="00B455DD" w:rsidRDefault="00B455DD" w:rsidP="00B455DD">
            <w:pPr>
              <w:pStyle w:val="10"/>
              <w:rPr>
                <w:lang w:val="ru-RU"/>
              </w:rPr>
            </w:pPr>
            <w:r w:rsidRPr="00B455DD">
              <w:rPr>
                <w:sz w:val="24"/>
                <w:lang w:val="ru-RU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455DD" w:rsidRPr="00D87886" w:rsidTr="00B455DD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A37BAD" w:rsidRDefault="00B455DD" w:rsidP="00B45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C67FE2" w:rsidRDefault="00B455DD" w:rsidP="00B455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Требования к сопутствующим услугам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DD" w:rsidRPr="00D87886" w:rsidRDefault="00B455DD" w:rsidP="00B455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>прединсталляционных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  <w:szCs w:val="20"/>
              </w:rPr>
              <w:t xml:space="preserve"> требованиях, необходимых для успешного запуска оборудования. Доставку к рабочему месту, разгрузку оборудования, распаковку, установку, наладку и запуск приборов, проверку их характеристик на соответствие </w:t>
            </w:r>
            <w:r w:rsidRPr="00D8788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B455DD" w:rsidRPr="00B455DD" w:rsidRDefault="00B455DD" w:rsidP="005F6BA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</w:p>
    <w:p w:rsidR="00BF3EC4" w:rsidRDefault="00B455DD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548E" w:rsidRPr="00503BDA" w:rsidRDefault="00D7548E" w:rsidP="00D754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 w:rsidRPr="00503BDA">
        <w:rPr>
          <w:rFonts w:ascii="Times New Roman" w:hAnsi="Times New Roman" w:cs="Times New Roman"/>
          <w:sz w:val="20"/>
          <w:szCs w:val="20"/>
        </w:rPr>
        <w:t>2</w:t>
      </w:r>
    </w:p>
    <w:p w:rsidR="00D7548E" w:rsidRPr="00F61E45" w:rsidRDefault="00D7548E" w:rsidP="00D754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03B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тендерлік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құжаттарға</w:t>
      </w:r>
    </w:p>
    <w:p w:rsidR="00D7548E" w:rsidRPr="00B455DD" w:rsidRDefault="00D7548E" w:rsidP="00D7548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7548E" w:rsidRPr="00F61E45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Бекітемін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D7548E" w:rsidRPr="00F61E45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Бас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дәрігер</w:t>
      </w:r>
      <w:proofErr w:type="spellEnd"/>
    </w:p>
    <w:p w:rsidR="00D7548E" w:rsidRPr="00F61E45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Абай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облысы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ДСБ «Жарма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аудандық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ауруханасы»ШЖҚ</w:t>
      </w:r>
      <w:proofErr w:type="spellEnd"/>
      <w:proofErr w:type="gram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КМК  </w:t>
      </w:r>
    </w:p>
    <w:p w:rsidR="00D7548E" w:rsidRPr="003E3564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proofErr w:type="spellStart"/>
      <w:r w:rsidRPr="00F61E45">
        <w:rPr>
          <w:rFonts w:ascii="Times New Roman" w:hAnsi="Times New Roman" w:cs="Times New Roman"/>
          <w:b/>
          <w:bCs/>
          <w:sz w:val="20"/>
          <w:szCs w:val="20"/>
        </w:rPr>
        <w:t>Бұйрық</w:t>
      </w:r>
      <w:proofErr w:type="spellEnd"/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B92BEB">
        <w:rPr>
          <w:rFonts w:ascii="Times New Roman" w:hAnsi="Times New Roman" w:cs="Times New Roman"/>
          <w:b/>
          <w:bCs/>
          <w:sz w:val="20"/>
          <w:szCs w:val="20"/>
          <w:lang w:val="kk-KZ"/>
        </w:rPr>
        <w:t>99</w:t>
      </w:r>
    </w:p>
    <w:p w:rsidR="00D7548E" w:rsidRPr="00F61E45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B92BEB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F61E45">
        <w:rPr>
          <w:rFonts w:ascii="Times New Roman" w:hAnsi="Times New Roman" w:cs="Times New Roman"/>
          <w:b/>
          <w:bCs/>
          <w:sz w:val="20"/>
          <w:szCs w:val="20"/>
        </w:rPr>
        <w:t>» 0</w:t>
      </w:r>
      <w:r w:rsidR="00B92BE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61E45">
        <w:rPr>
          <w:rFonts w:ascii="Times New Roman" w:hAnsi="Times New Roman" w:cs="Times New Roman"/>
          <w:b/>
          <w:bCs/>
          <w:sz w:val="20"/>
          <w:szCs w:val="20"/>
        </w:rPr>
        <w:t xml:space="preserve"> 2024жыл</w:t>
      </w:r>
    </w:p>
    <w:p w:rsidR="00D7548E" w:rsidRPr="001338AD" w:rsidRDefault="00D7548E" w:rsidP="00D7548E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F39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7548E" w:rsidRPr="001338AD" w:rsidRDefault="00D7548E" w:rsidP="00D754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48E" w:rsidRPr="00F61E45" w:rsidRDefault="00D7548E" w:rsidP="00D754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сипаттама</w:t>
      </w:r>
      <w:proofErr w:type="spellEnd"/>
    </w:p>
    <w:p w:rsidR="00D7548E" w:rsidRPr="00F61E45" w:rsidRDefault="00D7548E" w:rsidP="00D754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медициналық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бұйымдарды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алу</w:t>
      </w:r>
      <w:proofErr w:type="spellEnd"/>
      <w:r w:rsidRPr="00F61E4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1E45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D7548E" w:rsidRPr="00F61E45" w:rsidRDefault="00D7548E" w:rsidP="00D754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548E" w:rsidRDefault="00D7548E" w:rsidP="00D754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E45">
        <w:rPr>
          <w:rFonts w:ascii="Times New Roman" w:hAnsi="Times New Roman" w:cs="Times New Roman"/>
          <w:b/>
          <w:sz w:val="20"/>
          <w:szCs w:val="20"/>
        </w:rPr>
        <w:t xml:space="preserve">№ 1 Лот </w:t>
      </w:r>
      <w:proofErr w:type="spellStart"/>
      <w:r w:rsidRPr="003E3564">
        <w:rPr>
          <w:rFonts w:ascii="Times New Roman" w:hAnsi="Times New Roman" w:cs="Times New Roman"/>
          <w:b/>
          <w:bCs/>
          <w:sz w:val="20"/>
          <w:szCs w:val="20"/>
        </w:rPr>
        <w:t>Синхрондау</w:t>
      </w:r>
      <w:proofErr w:type="spellEnd"/>
      <w:r w:rsidRPr="003E35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E3564">
        <w:rPr>
          <w:rFonts w:ascii="Times New Roman" w:hAnsi="Times New Roman" w:cs="Times New Roman"/>
          <w:b/>
          <w:bCs/>
          <w:sz w:val="20"/>
          <w:szCs w:val="20"/>
        </w:rPr>
        <w:t>функциясы</w:t>
      </w:r>
      <w:proofErr w:type="spellEnd"/>
      <w:r w:rsidRPr="003E3564">
        <w:rPr>
          <w:rFonts w:ascii="Times New Roman" w:hAnsi="Times New Roman" w:cs="Times New Roman"/>
          <w:b/>
          <w:bCs/>
          <w:sz w:val="20"/>
          <w:szCs w:val="20"/>
        </w:rPr>
        <w:t xml:space="preserve"> бар 6 </w:t>
      </w:r>
      <w:proofErr w:type="spellStart"/>
      <w:r w:rsidRPr="003E3564">
        <w:rPr>
          <w:rFonts w:ascii="Times New Roman" w:hAnsi="Times New Roman" w:cs="Times New Roman"/>
          <w:b/>
          <w:bCs/>
          <w:sz w:val="20"/>
          <w:szCs w:val="20"/>
        </w:rPr>
        <w:t>фазалы</w:t>
      </w:r>
      <w:proofErr w:type="spellEnd"/>
      <w:r w:rsidRPr="003E3564">
        <w:rPr>
          <w:rFonts w:ascii="Times New Roman" w:hAnsi="Times New Roman" w:cs="Times New Roman"/>
          <w:b/>
          <w:bCs/>
          <w:sz w:val="20"/>
          <w:szCs w:val="20"/>
        </w:rPr>
        <w:t xml:space="preserve"> Дефибриллятор</w:t>
      </w:r>
    </w:p>
    <w:p w:rsidR="00D7548E" w:rsidRDefault="00D7548E" w:rsidP="00D754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7548E" w:rsidRPr="001338AD" w:rsidRDefault="00D7548E" w:rsidP="00D7548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567"/>
        <w:gridCol w:w="2126"/>
        <w:gridCol w:w="5387"/>
        <w:gridCol w:w="992"/>
      </w:tblGrid>
      <w:tr w:rsidR="00D7548E" w:rsidRPr="00FE64C1" w:rsidTr="00694C6C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548E" w:rsidRPr="00FE64C1" w:rsidRDefault="00D7548E" w:rsidP="00694C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proofErr w:type="spellEnd"/>
          </w:p>
        </w:tc>
      </w:tr>
      <w:tr w:rsidR="00D7548E" w:rsidRPr="00FE64C1" w:rsidTr="00694C6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3E3564" w:rsidRDefault="00D7548E" w:rsidP="00694C6C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5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едицин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алық</w:t>
            </w:r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техник</w:t>
            </w:r>
            <w:r w:rsidRPr="003E35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аның атауы</w:t>
            </w:r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(далее – МТ)</w:t>
            </w:r>
          </w:p>
          <w:p w:rsidR="00D7548E" w:rsidRPr="000D52F7" w:rsidRDefault="00D7548E" w:rsidP="00694C6C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3E356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мемлекеттік реестрға сәйкес</w:t>
            </w:r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МТ)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8E" w:rsidRPr="00B455DD" w:rsidRDefault="00D7548E" w:rsidP="006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D7548E" w:rsidRPr="00B455DD" w:rsidRDefault="00D7548E" w:rsidP="00694C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Синхрондау</w:t>
            </w:r>
            <w:proofErr w:type="spellEnd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функциясы</w:t>
            </w:r>
            <w:proofErr w:type="spellEnd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бар 6 </w:t>
            </w:r>
            <w:proofErr w:type="spellStart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фазалы</w:t>
            </w:r>
            <w:proofErr w:type="spellEnd"/>
            <w:r w:rsidRPr="003E35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Дефибриллятор</w:t>
            </w:r>
            <w:r w:rsidRPr="00B45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7548E" w:rsidRPr="00FE64C1" w:rsidTr="00694C6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Өлшеу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құралдарына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жататын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8E" w:rsidRPr="00FE64C1" w:rsidRDefault="00D7548E" w:rsidP="00694C6C">
            <w:pPr>
              <w:spacing w:after="0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  <w:tr w:rsidR="00D7548E" w:rsidRPr="000D52F7" w:rsidTr="00694C6C">
        <w:trPr>
          <w:trHeight w:val="6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18C2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Жинақтауға</w:t>
            </w:r>
            <w:proofErr w:type="spellEnd"/>
            <w:r w:rsidRPr="00CC1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/>
                <w:sz w:val="20"/>
                <w:szCs w:val="20"/>
              </w:rPr>
              <w:t>қойылатын</w:t>
            </w:r>
            <w:proofErr w:type="spellEnd"/>
            <w:r w:rsidRPr="00CC1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0F2C4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548E" w:rsidRPr="000F2C4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C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3E3564" w:rsidRDefault="00D7548E" w:rsidP="00694C6C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жиынтықтауыштың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548E" w:rsidRPr="003E3564" w:rsidRDefault="00D7548E" w:rsidP="00694C6C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(МТ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тізіліміне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0F2C41" w:rsidRDefault="00D7548E" w:rsidP="00694C6C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жиынтықтауыштың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қысқаша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техникалық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0D52F7" w:rsidRDefault="00D7548E" w:rsidP="00694C6C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Қажетті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>мөлшер</w:t>
            </w:r>
            <w:proofErr w:type="spellEnd"/>
            <w:r w:rsidRPr="003E3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бірлігін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3E3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548E" w:rsidRPr="00FE64C1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Негізгі</w:t>
            </w:r>
            <w:proofErr w:type="spellEnd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компоненттер</w:t>
            </w:r>
            <w:proofErr w:type="spellEnd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жаман</w:t>
            </w:r>
            <w:proofErr w:type="spellEnd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емес</w:t>
            </w:r>
            <w:proofErr w:type="spellEnd"/>
            <w:r w:rsidRPr="003E356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7548E" w:rsidRPr="00FE64C1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3E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Термопринтері</w:t>
            </w:r>
            <w:proofErr w:type="spellEnd"/>
            <w:r w:rsidRPr="003E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 Дефибриллятор-монитор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CC18C2" w:rsidRDefault="00D7548E" w:rsidP="00694C6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Жалпы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сипаттамасы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дефибриллятор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түрі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дефибрилляция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Түсті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сұйық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кристалды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Дисплей-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болуы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кем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дегенде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7.0 дюйм.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800 х 480.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Экрандағы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толқындар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саны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3.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Көрсеткіш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дабыл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Қуат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Батарея заряды –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болуы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USB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дискісін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пайдаланып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компьютерге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деректерді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экспорттау-қол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жетімділік</w:t>
            </w:r>
            <w:proofErr w:type="spellEnd"/>
            <w:r w:rsidRPr="00CC18C2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  <w:p w:rsidR="00D7548E" w:rsidRPr="00CC18C2" w:rsidRDefault="00D7548E" w:rsidP="00694C6C">
            <w:pPr>
              <w:pStyle w:val="TableParagraph"/>
              <w:rPr>
                <w:rStyle w:val="2"/>
                <w:rFonts w:eastAsia="SimSun" w:cs="Times New Roman"/>
                <w:sz w:val="20"/>
                <w:szCs w:val="20"/>
              </w:rPr>
            </w:pPr>
            <w:r w:rsidRPr="00CC18C2">
              <w:rPr>
                <w:rFonts w:eastAsia="SimSun"/>
                <w:sz w:val="20"/>
                <w:szCs w:val="20"/>
              </w:rPr>
              <w:t xml:space="preserve">Дабылдар: визуалды, дыбыстық дабылдың 3 деңгейі-қол жетімділік. Дабыл шамы-болуы. Пациенттердің жас топтары: Ересектер, Балалар, Жаңа туған нәрестелер-болуы. Li-ion батареясы кемінде 5600mAh-болуы. Батареяны зарядтау уақыты: 80% дейін екі сағаттан аспайды, 100% дейін үш сағаттан аспайды. Батареяның жұмыс уақыты: бақылау режимі кем дегенде 2 сағат. Дефибрилляция режимі 360Дж бойынша кемінде 100 </w:t>
            </w:r>
            <w:r w:rsidRPr="00CC18C2">
              <w:rPr>
                <w:rFonts w:eastAsia="SimSun"/>
                <w:sz w:val="20"/>
                <w:szCs w:val="20"/>
              </w:rPr>
              <w:lastRenderedPageBreak/>
              <w:t xml:space="preserve">разряд. Кардиостимуляция режимі кемінде 2 сағат (жүктемесі 50 Ом, кардиостимуляция жиілігі: кемінде 80 уд/мин, кардиостимуляцияның шығу сигналы кемінде 60 мА). </w:t>
            </w:r>
            <w:r w:rsidRPr="00CC18C2">
              <w:rPr>
                <w:rStyle w:val="2"/>
                <w:rFonts w:eastAsia="SimSun" w:cs="Times New Roman"/>
                <w:sz w:val="20"/>
                <w:szCs w:val="20"/>
              </w:rPr>
              <w:t xml:space="preserve"> Дефибриллятор: бақылау режимі-болуы. Қолмен дефибрилляция режимі-болуы. АНД режимі (жартылай автоматты сыртқы дефибрилляция) – болуы. Сыртқы кардиостимуляция режимі-болуы. Импульс формасы: жартылай синусоид. Энергия қателігі: 25-175 ОМ кедергісі кезінде ±2 Дж немесе берілген мәннің 15% - дан аспайды (қайсысы үлкен болса). Зарядтау уақыты: толық зарядталған батареямен 5 секундтан 200 Дж дейін, толық зарядталған батареямен 8 секундтан 360 Дж дейін. Разряд: дефибриллятордың көп функциялы үстеме электродтары немесе разрядты электродтар арқылы. Науқастың импеданс диапазоны: 25-тен 175-ке дейіном (сыртқы дефибрилляция).</w:t>
            </w:r>
          </w:p>
          <w:p w:rsidR="00D7548E" w:rsidRPr="00CC18C2" w:rsidRDefault="00D7548E" w:rsidP="00694C6C">
            <w:pPr>
              <w:pStyle w:val="TableParagraph"/>
              <w:rPr>
                <w:rFonts w:eastAsia="SimSun"/>
                <w:sz w:val="20"/>
                <w:szCs w:val="20"/>
              </w:rPr>
            </w:pPr>
            <w:r w:rsidRPr="00CC18C2">
              <w:rPr>
                <w:rFonts w:eastAsia="SimSun"/>
                <w:sz w:val="20"/>
                <w:szCs w:val="20"/>
              </w:rPr>
              <w:t>Шығу энергиясы: кем емес 1, 2, 3, 4, 5, 6, 7, 8, 9, 10, 15, 20, 30, 50, 70, 100, 150, 170, 200, 300, 360 Дж. Синхронды кардиоверсия: энергияны беру QRS шыңынан 60мс шегінде басталады. Қисық: бір фазалы тікбұрышты импульс. Импульстің ені: ±20мс, 5%. Отқа төзімді кезең: кем дегенде 200-300мс, ±3%. Ынталандыру режимі: сұраныс бойынша немесе бекітілген. Ынталандыру жиілігі: кем дегенде 40-170 М./ мин, ±1.5%. Ынталандыру шығысы: кем дегенде 0-200ма, ±5% немесе 5мА. Ынталандыру: 0,044444444. АНД: разрядтар сериясы: энергия деңгейі: 100-ден 360 Дж-ге дейін (реттелетін), разрядтар: 1, 2, 3 (реттелетін). Дефибрилляцияға жарамды ритақ: ЖФ, ЖТ(ЖЖЖ&gt;150уд/мин, және ені QRS&gt;120 мс).</w:t>
            </w:r>
          </w:p>
          <w:p w:rsidR="00D7548E" w:rsidRPr="00CC18C2" w:rsidRDefault="00D7548E" w:rsidP="00694C6C">
            <w:pPr>
              <w:pStyle w:val="TableParagraph"/>
              <w:rPr>
                <w:rFonts w:eastAsia="SimSun"/>
                <w:bCs/>
                <w:sz w:val="20"/>
                <w:szCs w:val="20"/>
              </w:rPr>
            </w:pPr>
            <w:r w:rsidRPr="00CC18C2">
              <w:rPr>
                <w:rFonts w:eastAsia="SimSun"/>
                <w:bCs/>
                <w:sz w:val="20"/>
                <w:szCs w:val="20"/>
              </w:rPr>
              <w:t>Бақыланатын параметрлер: ЭКГ (болуы): 3/5 қорғасын – болуы. Сымдарды таңдау нашар емес: I, II, III, aVR, aVL, aVF, V. сыпыру жылдамдығы кемінде: 6,25 мм/сек, 12,5 мм/сек, 25 мм/сек, 50 мм/сек. Өткізу қабілеті: диагностика режимі кемінде 0,05-тен 150 Гц-ке дейін, мониторинг режимі кемінде 0,5-тен 40 Гц-ке дейін, терапия режимі кемінде 1-ден 20 Гц-ке дейін. РЖ коагуляторынан қорғау-болуы. Дефибрилляциядан қорғау-болуы. Аритмияны талдау-болуы. Жүрек соғу жиілігі (болуы): өлшеу диапазоны кемінде: ересектер 15-300 уд/мин, балалар/жаңа туған нәрестелер 15-350 уд/мин.қателік ±1% немесе ±1 уд/мин кем емес, мәндерден үлкен. Тыныс алу (болуы): әдіс: трансторакальды кедергі.</w:t>
            </w:r>
          </w:p>
          <w:p w:rsidR="00D7548E" w:rsidRPr="00CC18C2" w:rsidRDefault="00D7548E" w:rsidP="00694C6C">
            <w:pPr>
              <w:pStyle w:val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34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Өлшеу диапазоны кем емес: ересектер 0-120, балалар / жаңа туған нәрестелер 0-150. </w:t>
            </w:r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Апноэ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дабыл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уақыты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кемінде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10 с, 15 с, 20 с, 25 с, 30 с, 35 с, 40 С.</w:t>
            </w:r>
            <w:proofErr w:type="spellStart"/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SpO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(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болуы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):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өлшеу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диапазоны </w:t>
            </w:r>
            <w:proofErr w:type="spellStart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кемінде</w:t>
            </w:r>
            <w:proofErr w:type="spellEnd"/>
            <w:r w:rsidRPr="00334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– 100%. 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Рұқсат 1% - дан аспайды. Дәлдік ±2% - дан (70-100%) кем емес. Жүрек соғу 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жиілігінің диапазоны минутына 20-254 кем емес, ажыратымдылығы 1 уд аспайды, дәлдігі ±1 уд кем емес. Режимдер: қолмен / автоматты. Өлшенетін параметрлер: систолалық, диастолалық және орташа қысым, жүрек соғу жиілігі. Өлшеу диапазоны кем емес: ересектер 15-270 мм </w:t>
            </w:r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балалар 15 - 200 мм </w:t>
            </w:r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жаңа туған нәрестелер 10-135 мм </w:t>
            </w:r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Мазасыздық: систол., сәрсенбі., диастол. Қысым. Ажыратымдылығы 1 мм </w:t>
            </w:r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аспайды. </w:t>
            </w:r>
            <w:proofErr w:type="spellStart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Өлшем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бірліктері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мм </w:t>
            </w:r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CC18C2">
              <w:rPr>
                <w:rFonts w:ascii="Times New Roman" w:hAnsi="Times New Roman" w:cs="Times New Roman"/>
                <w:sz w:val="20"/>
                <w:szCs w:val="20"/>
              </w:rPr>
              <w:t>cra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пайдаланушының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таңдауы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D754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Артық қысымнан қорғау-болуы.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Капнометрия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(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АНИСО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2) (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міндетті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емес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):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әдісі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инфрақызыл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сіңіру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Өлшеу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диапазоны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0-99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кем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емес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Рұқсат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1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аспайды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Дәлдігі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нашар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емес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: ±2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(0-40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), ±5% (41-76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), ±10% (77-99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ммНд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).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Сенсордың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орны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: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bidi="kk-KZ"/>
              </w:rPr>
              <w:t>Sidestream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Дисплей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көрсеткіштері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: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bidi="kk-KZ"/>
              </w:rPr>
              <w:t>Fi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және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ЕТ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Термопринтер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(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болуы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):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қағаздың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ені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кемінде</w:t>
            </w:r>
            <w:proofErr w:type="spellEnd"/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50 </w:t>
            </w:r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мм</w:t>
            </w:r>
            <w:r w:rsidRPr="00D7548E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.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Басып</w:t>
            </w:r>
            <w:proofErr w:type="spellEnd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шығару</w:t>
            </w:r>
            <w:proofErr w:type="spellEnd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жылдамдығы</w:t>
            </w:r>
            <w:proofErr w:type="spellEnd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</w:t>
            </w:r>
            <w:proofErr w:type="spellStart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>кемінде</w:t>
            </w:r>
            <w:proofErr w:type="spellEnd"/>
            <w:r w:rsidRPr="00CC18C2">
              <w:rPr>
                <w:rFonts w:ascii="Times New Roman" w:hAnsi="Times New Roman" w:cs="Times New Roman"/>
                <w:bCs/>
                <w:sz w:val="20"/>
                <w:szCs w:val="20"/>
                <w:lang w:val="ru-RU" w:bidi="kk-KZ"/>
              </w:rPr>
              <w:t xml:space="preserve"> 25; 50 мм / 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</w:p>
        </w:tc>
      </w:tr>
      <w:tr w:rsidR="00D7548E" w:rsidRPr="00FE64C1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>Қосымша</w:t>
            </w:r>
            <w:proofErr w:type="spellEnd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>компоненттер</w:t>
            </w:r>
            <w:proofErr w:type="spellEnd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>жаман</w:t>
            </w:r>
            <w:proofErr w:type="spellEnd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>емес</w:t>
            </w:r>
            <w:proofErr w:type="spellEnd"/>
            <w:r w:rsidRPr="00705A2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ЭКГ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қорғасынға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ЭКГ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кабелі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қорғасынмен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ЭКГ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электродтарымен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толықтырылған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Сыртқы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электродтар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жиынтығы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дефибрилляция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Дефибрилляцияға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пайдалануға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("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үтіктер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")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электродтар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ересектер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- 1,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туған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нәрестелер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үшін-1)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Кардиостимуляцияға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арналған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сыртқы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бір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реттік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электродтар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жиынтығы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Набор внешних электродов для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, АНД, одноразовый,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: - 1 набор мультифункциональных электродов для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, одноразовый; - 1 кабель для мультифункциональных электродов с тестовой нагрузкой (500м)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Қайта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зарядталатын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батарея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Кіріктірілген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литий-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ионды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аккумулятор,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5600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мАч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НИАД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манжеті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қайта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пайдалануға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жарамды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түтігі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бар кем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дегенде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(25-35 см),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NIAD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манжеті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қайта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пайдалануға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жарамды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түтігі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(18-26 см), </w:t>
            </w:r>
            <w:proofErr w:type="spellStart"/>
            <w:r w:rsidRPr="00705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балалар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693EF1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SpO2 7pin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ұзартқыш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сымы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2,5 </w:t>
            </w:r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693EF1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705A26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пайдалануға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SpO2,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ересектер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693EF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Сенсор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пайдалануға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SpO2,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нәресте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79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Орнату</w:t>
            </w:r>
            <w:proofErr w:type="spellEnd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5A26">
              <w:rPr>
                <w:rFonts w:ascii="Times New Roman" w:hAnsi="Times New Roman"/>
                <w:sz w:val="20"/>
                <w:szCs w:val="20"/>
                <w:lang w:val="ru-RU"/>
              </w:rPr>
              <w:t>жинағы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Қабырғаға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орнату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Pr="00705A26">
              <w:rPr>
                <w:rFonts w:ascii="Times New Roman" w:hAnsi="Times New Roman" w:cs="Times New Roman"/>
                <w:sz w:val="20"/>
                <w:szCs w:val="20"/>
              </w:rPr>
              <w:t xml:space="preserve"> /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D7548E" w:rsidRPr="00E5791C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791C">
              <w:rPr>
                <w:rFonts w:ascii="Times New Roman" w:hAnsi="Times New Roman"/>
                <w:sz w:val="20"/>
                <w:szCs w:val="20"/>
                <w:lang w:val="ru-RU"/>
              </w:rPr>
              <w:t>Принтер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Кіріктірілген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термопринтер,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орам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5791C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9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</w:tr>
      <w:tr w:rsidR="00D7548E" w:rsidRPr="00357DAF" w:rsidTr="00694C6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pStyle w:val="2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357DAF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357DAF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8E" w:rsidRPr="00FE64C1" w:rsidTr="00694C6C">
        <w:trPr>
          <w:trHeight w:val="1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Шығын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материалдары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тозатын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тораптар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жаман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емес</w:t>
            </w:r>
            <w:proofErr w:type="spellEnd"/>
            <w:r w:rsidRPr="00E6350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7548E" w:rsidRPr="00FE64C1" w:rsidTr="00694C6C"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E64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575792" w:rsidRDefault="00D7548E" w:rsidP="00694C6C">
            <w:pPr>
              <w:pStyle w:val="2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қағазы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Термоқағаз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кем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(50 мм * 20м)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48E" w:rsidRPr="00E63504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7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</w:tr>
      <w:tr w:rsidR="00D7548E" w:rsidRPr="00FE64C1" w:rsidTr="00694C6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Пайдалану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шарттарына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қойылатын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FE64C1" w:rsidRDefault="00D7548E" w:rsidP="00694C6C">
            <w:pPr>
              <w:shd w:val="clear" w:color="auto" w:fill="FFFFFF"/>
              <w:tabs>
                <w:tab w:val="left" w:pos="278"/>
                <w:tab w:val="left" w:pos="312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Қуат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көзі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>желісі</w:t>
            </w:r>
            <w:proofErr w:type="spellEnd"/>
            <w:r w:rsidRPr="00E63504">
              <w:rPr>
                <w:rFonts w:ascii="Times New Roman" w:hAnsi="Times New Roman" w:cs="Times New Roman"/>
                <w:sz w:val="20"/>
                <w:szCs w:val="20"/>
              </w:rPr>
              <w:t xml:space="preserve"> 220+10%, 50 Гц.</w:t>
            </w:r>
          </w:p>
        </w:tc>
      </w:tr>
      <w:tr w:rsidR="00D7548E" w:rsidRPr="009B7F75" w:rsidTr="00694C6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МТ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жеткізуді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жүзеге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асыру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шарттары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сәйкес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ИНКОТЕРМС 2010)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жеткізу пунктісі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7548E" w:rsidRPr="009B7F75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86">
              <w:rPr>
                <w:rFonts w:ascii="Times New Roman" w:hAnsi="Times New Roman" w:cs="Times New Roman"/>
                <w:sz w:val="24"/>
              </w:rPr>
              <w:t xml:space="preserve">Абай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D87886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Жарм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а ауданы</w:t>
            </w:r>
            <w:r w:rsidRPr="00D8788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албатау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ауылы</w:t>
            </w:r>
            <w:r w:rsidRPr="00D8788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87886">
              <w:rPr>
                <w:rFonts w:ascii="Times New Roman" w:hAnsi="Times New Roman" w:cs="Times New Roman"/>
                <w:sz w:val="24"/>
              </w:rPr>
              <w:t>Мустанбаев</w:t>
            </w:r>
            <w:proofErr w:type="spellEnd"/>
            <w:r w:rsidRPr="00D87886">
              <w:rPr>
                <w:rFonts w:ascii="Times New Roman" w:hAnsi="Times New Roman" w:cs="Times New Roman"/>
                <w:sz w:val="24"/>
              </w:rPr>
              <w:t>, 108</w:t>
            </w:r>
          </w:p>
        </w:tc>
      </w:tr>
      <w:tr w:rsidR="00D7548E" w:rsidRPr="00FE64C1" w:rsidTr="00694C6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мерзімі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Default="00D7548E" w:rsidP="00694C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Мекен жайы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Абай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B410AD">
              <w:rPr>
                <w:rFonts w:ascii="Times New Roman" w:hAnsi="Times New Roman" w:cs="Times New Roman"/>
                <w:sz w:val="24"/>
              </w:rPr>
              <w:t>с</w:t>
            </w:r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Жарм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>а ауданы</w:t>
            </w:r>
            <w:r w:rsidRPr="00B410AD">
              <w:rPr>
                <w:rFonts w:ascii="Times New Roman" w:hAnsi="Times New Roman" w:cs="Times New Roman"/>
                <w:sz w:val="24"/>
              </w:rPr>
              <w:t>,</w:t>
            </w:r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албатау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  <w:lang w:val="kk-KZ"/>
              </w:rPr>
              <w:t xml:space="preserve"> ауылы</w:t>
            </w:r>
            <w:r w:rsidRPr="00B410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10AD">
              <w:rPr>
                <w:rFonts w:ascii="Times New Roman" w:hAnsi="Times New Roman" w:cs="Times New Roman"/>
                <w:sz w:val="24"/>
              </w:rPr>
              <w:t>Мустанбаев</w:t>
            </w:r>
            <w:proofErr w:type="spellEnd"/>
            <w:r w:rsidRPr="00B410AD">
              <w:rPr>
                <w:rFonts w:ascii="Times New Roman" w:hAnsi="Times New Roman" w:cs="Times New Roman"/>
                <w:sz w:val="24"/>
              </w:rPr>
              <w:t>, 108</w:t>
            </w:r>
          </w:p>
          <w:p w:rsidR="00D7548E" w:rsidRPr="00B410AD" w:rsidRDefault="00D7548E" w:rsidP="00694C6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Жеткізілу мерзімі</w:t>
            </w:r>
            <w:r>
              <w:t xml:space="preserve">: 90 </w:t>
            </w:r>
            <w:r>
              <w:rPr>
                <w:lang w:val="kk-KZ"/>
              </w:rPr>
              <w:t>күнтізбелік күн</w:t>
            </w:r>
          </w:p>
        </w:tc>
      </w:tr>
      <w:tr w:rsidR="00D7548E" w:rsidRPr="00FE64C1" w:rsidTr="00694C6C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8E" w:rsidRPr="00FE64C1" w:rsidRDefault="00D7548E" w:rsidP="00694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Өнім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берушінің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оның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Қазақстан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Республикасындағы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орталықтарының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үшінші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тұлғаларды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тарта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отырып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МТ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техникаға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кепілдік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сервистік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кемінде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37 ай.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Жоспарлы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тоқсанына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кемінде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1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рет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жүргізілуі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тиіс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көрсету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жұмыстары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пайдалану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құжаттамасының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талаптарына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сәйкес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орындалады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мыналарды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қамтуы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тиіс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жұмыс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істеген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құрамдас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бөліктерді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ауыстыру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техниканың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жекелеген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бөліктерін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ауыстыру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немесе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қалпына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келтіру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техниканы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баптау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реттеу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; осы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техникаға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тән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жұмыстар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т. б.;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тазалау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майлау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қажет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болған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жағдайда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негізгі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механизмдер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мен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тораптарды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іріктеу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D7548E" w:rsidRPr="00E63504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техника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корпусының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құрамдас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бөліктерінің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сыртқы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ішкі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беттерінен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шаңды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кірді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, коррозия мен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тотығу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іздерін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кетіру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proofErr w:type="gram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ішінара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блокты-тораптық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бөлшектеумен</w:t>
            </w:r>
            <w:proofErr w:type="spellEnd"/>
            <w:r w:rsidRPr="00E63504">
              <w:rPr>
                <w:rFonts w:ascii="Times New Roman" w:hAnsi="Times New Roman" w:cs="Times New Roman"/>
                <w:sz w:val="24"/>
                <w:szCs w:val="20"/>
              </w:rPr>
              <w:t>);</w:t>
            </w:r>
          </w:p>
          <w:p w:rsidR="00D7548E" w:rsidRPr="00B455DD" w:rsidRDefault="00D7548E" w:rsidP="00694C6C">
            <w:pPr>
              <w:pStyle w:val="10"/>
              <w:rPr>
                <w:lang w:val="ru-RU"/>
              </w:rPr>
            </w:pPr>
            <w:r w:rsidRPr="00E63504">
              <w:rPr>
                <w:sz w:val="24"/>
                <w:lang w:val="ru-RU"/>
              </w:rPr>
              <w:t xml:space="preserve">- </w:t>
            </w:r>
            <w:proofErr w:type="spellStart"/>
            <w:r w:rsidRPr="00E63504">
              <w:rPr>
                <w:sz w:val="24"/>
                <w:lang w:val="ru-RU"/>
              </w:rPr>
              <w:t>пайдалану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құжаттамасында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көрсетілген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медициналық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техниканың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нақты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түріне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тән</w:t>
            </w:r>
            <w:proofErr w:type="spellEnd"/>
            <w:r w:rsidRPr="00E63504">
              <w:rPr>
                <w:sz w:val="24"/>
                <w:lang w:val="ru-RU"/>
              </w:rPr>
              <w:t xml:space="preserve"> </w:t>
            </w:r>
            <w:proofErr w:type="spellStart"/>
            <w:r w:rsidRPr="00E63504">
              <w:rPr>
                <w:sz w:val="24"/>
                <w:lang w:val="ru-RU"/>
              </w:rPr>
              <w:t>өзге</w:t>
            </w:r>
            <w:proofErr w:type="spellEnd"/>
            <w:r w:rsidRPr="00E63504">
              <w:rPr>
                <w:sz w:val="24"/>
                <w:lang w:val="ru-RU"/>
              </w:rPr>
              <w:t xml:space="preserve"> де </w:t>
            </w:r>
            <w:proofErr w:type="spellStart"/>
            <w:r w:rsidRPr="00E63504">
              <w:rPr>
                <w:sz w:val="24"/>
                <w:lang w:val="ru-RU"/>
              </w:rPr>
              <w:t>операциялар</w:t>
            </w:r>
            <w:proofErr w:type="spellEnd"/>
            <w:r w:rsidRPr="00E63504">
              <w:rPr>
                <w:sz w:val="24"/>
                <w:lang w:val="ru-RU"/>
              </w:rPr>
              <w:t>.</w:t>
            </w:r>
          </w:p>
        </w:tc>
      </w:tr>
      <w:tr w:rsidR="00D7548E" w:rsidRPr="00D87886" w:rsidTr="00694C6C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A37BAD" w:rsidRDefault="00D7548E" w:rsidP="00694C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C67FE2" w:rsidRDefault="00D7548E" w:rsidP="00694C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Ілеспе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қызметтерге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қойылатын</w:t>
            </w:r>
            <w:proofErr w:type="spellEnd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E63504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талаптар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E" w:rsidRPr="00D87886" w:rsidRDefault="00D7548E" w:rsidP="00694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Өлшеу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құралдарына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жататын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тауар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Қазақстан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Республикасының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өлшеу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құралдарының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тізіліміне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енгізілуге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тиіс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Жабдықты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орнатқанға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дейін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күнтізбелік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40 (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қырық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күннен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кешіктірмей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өнім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беруші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Тапсырыс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берушіге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жабдықты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сәтті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іске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қосу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үшін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қажетті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инсталляция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алдындағы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талаптар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туралы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хабарлайды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Жұмыс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орнына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жеткізуді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жабдықты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түсіруді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аспаптарды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орауды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орнатуды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баптауды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іске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қосуды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олардың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сипаттамаларының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осы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құжатқа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фирманың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спецификациясына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дәлдігі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сезімталдығы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өнімділігі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басқалары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сәйкестігін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тексеруді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медициналық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аппликациялық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тренинг)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және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техникалық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персоналды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растайтын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құжатты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бере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отырып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қызмет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көрсетудің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базалық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деңгейіне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оқытуды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Тапсырыс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берушіні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тарта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отырып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өнім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беруші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жүзеге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асырады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штатта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өндірушінің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тиісті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мамандары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қызметкерлері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болмаған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жағдайда</w:t>
            </w:r>
            <w:proofErr w:type="spellEnd"/>
            <w:r w:rsidRPr="00204F4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D7548E" w:rsidRDefault="00D7548E" w:rsidP="00944B4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D7548E" w:rsidSect="003038F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4"/>
    <w:multiLevelType w:val="hybridMultilevel"/>
    <w:tmpl w:val="BE40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135CF4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785" w:hanging="360"/>
      </w:pPr>
    </w:lvl>
    <w:lvl w:ilvl="1" w:tplc="A1B41500">
      <w:start w:val="1"/>
      <w:numFmt w:val="lowerLetter"/>
      <w:lvlText w:val="%2."/>
      <w:lvlJc w:val="left"/>
      <w:pPr>
        <w:ind w:left="1440" w:hanging="360"/>
      </w:pPr>
    </w:lvl>
    <w:lvl w:ilvl="2" w:tplc="19D0A484">
      <w:start w:val="1"/>
      <w:numFmt w:val="lowerRoman"/>
      <w:lvlText w:val="%3."/>
      <w:lvlJc w:val="right"/>
      <w:pPr>
        <w:ind w:left="2160" w:hanging="180"/>
      </w:pPr>
    </w:lvl>
    <w:lvl w:ilvl="3" w:tplc="0986D76A">
      <w:start w:val="1"/>
      <w:numFmt w:val="decimal"/>
      <w:lvlText w:val="%4."/>
      <w:lvlJc w:val="left"/>
      <w:pPr>
        <w:ind w:left="2880" w:hanging="360"/>
      </w:pPr>
    </w:lvl>
    <w:lvl w:ilvl="4" w:tplc="868AC98E">
      <w:start w:val="1"/>
      <w:numFmt w:val="lowerLetter"/>
      <w:lvlText w:val="%5."/>
      <w:lvlJc w:val="left"/>
      <w:pPr>
        <w:ind w:left="3600" w:hanging="360"/>
      </w:pPr>
    </w:lvl>
    <w:lvl w:ilvl="5" w:tplc="0372715C">
      <w:start w:val="1"/>
      <w:numFmt w:val="lowerRoman"/>
      <w:lvlText w:val="%6."/>
      <w:lvlJc w:val="right"/>
      <w:pPr>
        <w:ind w:left="4320" w:hanging="180"/>
      </w:pPr>
    </w:lvl>
    <w:lvl w:ilvl="6" w:tplc="5B2AB314">
      <w:start w:val="1"/>
      <w:numFmt w:val="decimal"/>
      <w:lvlText w:val="%7."/>
      <w:lvlJc w:val="left"/>
      <w:pPr>
        <w:ind w:left="5040" w:hanging="360"/>
      </w:pPr>
    </w:lvl>
    <w:lvl w:ilvl="7" w:tplc="BD141960">
      <w:start w:val="1"/>
      <w:numFmt w:val="lowerLetter"/>
      <w:lvlText w:val="%8."/>
      <w:lvlJc w:val="left"/>
      <w:pPr>
        <w:ind w:left="5760" w:hanging="360"/>
      </w:pPr>
    </w:lvl>
    <w:lvl w:ilvl="8" w:tplc="FBA6BC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F043E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1069" w:hanging="360"/>
      </w:pPr>
    </w:lvl>
    <w:lvl w:ilvl="1" w:tplc="A1B41500">
      <w:start w:val="1"/>
      <w:numFmt w:val="lowerLetter"/>
      <w:lvlText w:val="%2."/>
      <w:lvlJc w:val="left"/>
      <w:pPr>
        <w:ind w:left="1724" w:hanging="360"/>
      </w:pPr>
    </w:lvl>
    <w:lvl w:ilvl="2" w:tplc="19D0A484">
      <w:start w:val="1"/>
      <w:numFmt w:val="lowerRoman"/>
      <w:lvlText w:val="%3."/>
      <w:lvlJc w:val="right"/>
      <w:pPr>
        <w:ind w:left="2444" w:hanging="180"/>
      </w:pPr>
    </w:lvl>
    <w:lvl w:ilvl="3" w:tplc="0986D76A">
      <w:start w:val="1"/>
      <w:numFmt w:val="decimal"/>
      <w:lvlText w:val="%4."/>
      <w:lvlJc w:val="left"/>
      <w:pPr>
        <w:ind w:left="3164" w:hanging="360"/>
      </w:pPr>
    </w:lvl>
    <w:lvl w:ilvl="4" w:tplc="868AC98E">
      <w:start w:val="1"/>
      <w:numFmt w:val="lowerLetter"/>
      <w:lvlText w:val="%5."/>
      <w:lvlJc w:val="left"/>
      <w:pPr>
        <w:ind w:left="3884" w:hanging="360"/>
      </w:pPr>
    </w:lvl>
    <w:lvl w:ilvl="5" w:tplc="0372715C">
      <w:start w:val="1"/>
      <w:numFmt w:val="lowerRoman"/>
      <w:lvlText w:val="%6."/>
      <w:lvlJc w:val="right"/>
      <w:pPr>
        <w:ind w:left="4604" w:hanging="180"/>
      </w:pPr>
    </w:lvl>
    <w:lvl w:ilvl="6" w:tplc="5B2AB314">
      <w:start w:val="1"/>
      <w:numFmt w:val="decimal"/>
      <w:lvlText w:val="%7."/>
      <w:lvlJc w:val="left"/>
      <w:pPr>
        <w:ind w:left="5324" w:hanging="360"/>
      </w:pPr>
    </w:lvl>
    <w:lvl w:ilvl="7" w:tplc="BD141960">
      <w:start w:val="1"/>
      <w:numFmt w:val="lowerLetter"/>
      <w:lvlText w:val="%8."/>
      <w:lvlJc w:val="left"/>
      <w:pPr>
        <w:ind w:left="6044" w:hanging="360"/>
      </w:pPr>
    </w:lvl>
    <w:lvl w:ilvl="8" w:tplc="FBA6BC26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892F20"/>
    <w:multiLevelType w:val="hybridMultilevel"/>
    <w:tmpl w:val="2A8C84E4"/>
    <w:lvl w:ilvl="0" w:tplc="2C1465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0"/>
    <w:rsid w:val="000A0B72"/>
    <w:rsid w:val="001338AD"/>
    <w:rsid w:val="0014169B"/>
    <w:rsid w:val="001A67B3"/>
    <w:rsid w:val="001E346D"/>
    <w:rsid w:val="00243B36"/>
    <w:rsid w:val="003038F4"/>
    <w:rsid w:val="004357A2"/>
    <w:rsid w:val="004D4FC1"/>
    <w:rsid w:val="005458E8"/>
    <w:rsid w:val="005F3F31"/>
    <w:rsid w:val="005F69F4"/>
    <w:rsid w:val="005F6BA9"/>
    <w:rsid w:val="0071595D"/>
    <w:rsid w:val="007402C2"/>
    <w:rsid w:val="0081259D"/>
    <w:rsid w:val="00896758"/>
    <w:rsid w:val="00934753"/>
    <w:rsid w:val="00944B40"/>
    <w:rsid w:val="00965999"/>
    <w:rsid w:val="009B23B0"/>
    <w:rsid w:val="009E209E"/>
    <w:rsid w:val="00A056F5"/>
    <w:rsid w:val="00B15347"/>
    <w:rsid w:val="00B455DD"/>
    <w:rsid w:val="00B92BEB"/>
    <w:rsid w:val="00BA2EA7"/>
    <w:rsid w:val="00BD77E6"/>
    <w:rsid w:val="00BF3EC4"/>
    <w:rsid w:val="00C111B0"/>
    <w:rsid w:val="00CD01F0"/>
    <w:rsid w:val="00D7548E"/>
    <w:rsid w:val="00D8462A"/>
    <w:rsid w:val="00E03500"/>
    <w:rsid w:val="00E119D2"/>
    <w:rsid w:val="00E57092"/>
    <w:rsid w:val="00EA28A6"/>
    <w:rsid w:val="00EE2CC1"/>
    <w:rsid w:val="00EF39F6"/>
    <w:rsid w:val="00EF738E"/>
    <w:rsid w:val="00F30A38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6FDA"/>
  <w15:docId w15:val="{9D574890-4BB9-4CB3-9C53-1A5F8FE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8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4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59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Стиль2 Знак"/>
    <w:link w:val="20"/>
    <w:rsid w:val="00B455DD"/>
    <w:rPr>
      <w:rFonts w:cs="Calibri"/>
      <w:sz w:val="24"/>
      <w:szCs w:val="24"/>
    </w:rPr>
  </w:style>
  <w:style w:type="paragraph" w:customStyle="1" w:styleId="20">
    <w:name w:val="Стиль2"/>
    <w:basedOn w:val="a"/>
    <w:link w:val="2"/>
    <w:qFormat/>
    <w:rsid w:val="00B455DD"/>
    <w:pPr>
      <w:spacing w:after="0" w:line="240" w:lineRule="auto"/>
      <w:jc w:val="both"/>
    </w:pPr>
    <w:rPr>
      <w:rFonts w:asciiTheme="minorHAnsi" w:eastAsiaTheme="minorHAnsi" w:hAnsiTheme="minorHAnsi"/>
      <w:sz w:val="24"/>
      <w:szCs w:val="24"/>
      <w:lang w:val="en-US"/>
    </w:rPr>
  </w:style>
  <w:style w:type="character" w:customStyle="1" w:styleId="1">
    <w:name w:val="Стиль1 Знак"/>
    <w:link w:val="10"/>
    <w:rsid w:val="00B4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B455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1">
    <w:name w:val="Table Normal1"/>
    <w:uiPriority w:val="2"/>
    <w:semiHidden/>
    <w:unhideWhenUsed/>
    <w:qFormat/>
    <w:rsid w:val="00B455D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B455DD"/>
    <w:pPr>
      <w:widowControl w:val="0"/>
      <w:suppressAutoHyphens/>
      <w:spacing w:after="120" w:line="480" w:lineRule="auto"/>
    </w:pPr>
    <w:rPr>
      <w:rFonts w:eastAsia="Segoe UI" w:cs="Tahoma"/>
      <w:color w:val="000000"/>
      <w:szCs w:val="24"/>
      <w:lang w:eastAsia="ru-RU" w:bidi="ru-RU"/>
    </w:rPr>
  </w:style>
  <w:style w:type="character" w:customStyle="1" w:styleId="22">
    <w:name w:val="Основной текст 2 Знак"/>
    <w:basedOn w:val="a0"/>
    <w:link w:val="21"/>
    <w:uiPriority w:val="99"/>
    <w:rsid w:val="00B455DD"/>
    <w:rPr>
      <w:rFonts w:ascii="Calibri" w:eastAsia="Segoe UI" w:hAnsi="Calibri" w:cs="Tahoma"/>
      <w:color w:val="000000"/>
      <w:szCs w:val="24"/>
      <w:lang w:val="ru-RU" w:eastAsia="ru-RU" w:bidi="ru-RU"/>
    </w:rPr>
  </w:style>
  <w:style w:type="paragraph" w:styleId="a6">
    <w:name w:val="Normal (Web)"/>
    <w:aliases w:val="Обычный (Web)"/>
    <w:basedOn w:val="a"/>
    <w:uiPriority w:val="99"/>
    <w:unhideWhenUsed/>
    <w:rsid w:val="00B4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5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77BD-0D4F-46A4-9F99-8F2CC90D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31</cp:revision>
  <dcterms:created xsi:type="dcterms:W3CDTF">2023-10-09T08:08:00Z</dcterms:created>
  <dcterms:modified xsi:type="dcterms:W3CDTF">2024-04-15T04:06:00Z</dcterms:modified>
</cp:coreProperties>
</file>