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37" w:rsidRPr="006E3A6E" w:rsidRDefault="00CA0B37" w:rsidP="006E3A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3A6E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A0B37" w:rsidRPr="006E3A6E" w:rsidRDefault="00CA0B37" w:rsidP="006E3A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3A6E">
        <w:rPr>
          <w:rFonts w:ascii="Times New Roman" w:hAnsi="Times New Roman" w:cs="Times New Roman"/>
          <w:sz w:val="20"/>
          <w:szCs w:val="20"/>
        </w:rPr>
        <w:t>к тендерной  документации</w:t>
      </w:r>
    </w:p>
    <w:p w:rsidR="00CA0B37" w:rsidRPr="006E3A6E" w:rsidRDefault="00CA0B37" w:rsidP="006E3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B37" w:rsidRPr="006E3A6E" w:rsidRDefault="00CA0B37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E3A6E">
        <w:rPr>
          <w:rFonts w:ascii="Times New Roman" w:hAnsi="Times New Roman" w:cs="Times New Roman"/>
          <w:b/>
          <w:bCs/>
          <w:iCs/>
          <w:sz w:val="20"/>
          <w:szCs w:val="20"/>
        </w:rPr>
        <w:t>Техническая спецификация</w:t>
      </w:r>
    </w:p>
    <w:p w:rsidR="00CA0B37" w:rsidRPr="006E3A6E" w:rsidRDefault="00A918CB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E3A6E"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  <w:t xml:space="preserve"> На повторный </w:t>
      </w:r>
      <w:r w:rsidRPr="006E3A6E">
        <w:rPr>
          <w:rFonts w:ascii="Times New Roman" w:hAnsi="Times New Roman" w:cs="Times New Roman"/>
          <w:b/>
          <w:bCs/>
          <w:iCs/>
          <w:sz w:val="20"/>
          <w:szCs w:val="20"/>
        </w:rPr>
        <w:t>т</w:t>
      </w:r>
      <w:r w:rsidR="00CA0B37" w:rsidRPr="006E3A6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ендер на закуп </w:t>
      </w:r>
      <w:r w:rsidR="00CA0B37" w:rsidRPr="006E3A6E">
        <w:rPr>
          <w:rFonts w:ascii="Times New Roman" w:eastAsia="Times New Roman" w:hAnsi="Times New Roman" w:cs="Times New Roman"/>
          <w:b/>
          <w:sz w:val="20"/>
          <w:szCs w:val="20"/>
        </w:rPr>
        <w:t xml:space="preserve"> медицинского оборудования на 20</w:t>
      </w:r>
      <w:r w:rsidR="00CA0B37" w:rsidRPr="006E3A6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23</w:t>
      </w:r>
      <w:r w:rsidR="00CA0B37" w:rsidRPr="006E3A6E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  <w:r w:rsidR="00CA0B37" w:rsidRPr="006E3A6E"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  <w:t>»</w:t>
      </w:r>
    </w:p>
    <w:p w:rsidR="007274A9" w:rsidRPr="006E3A6E" w:rsidRDefault="007274A9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</w:p>
    <w:p w:rsidR="00D47250" w:rsidRPr="006E3A6E" w:rsidRDefault="00CA0B37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  <w:r w:rsidRPr="006E3A6E">
        <w:rPr>
          <w:rFonts w:ascii="Times New Roman" w:hAnsi="Times New Roman" w:cs="Times New Roman"/>
          <w:b/>
          <w:bCs/>
          <w:sz w:val="20"/>
          <w:szCs w:val="20"/>
          <w:lang w:eastAsia="ko-KR"/>
        </w:rPr>
        <w:t xml:space="preserve">Лот № 1 </w:t>
      </w:r>
    </w:p>
    <w:p w:rsidR="00332A58" w:rsidRPr="006E3A6E" w:rsidRDefault="00332A58" w:rsidP="006E3A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6E3A6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Кресло гинекологическое</w:t>
      </w:r>
    </w:p>
    <w:p w:rsidR="00CA0B37" w:rsidRPr="006E3A6E" w:rsidRDefault="00CA0B37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</w:p>
    <w:tbl>
      <w:tblPr>
        <w:tblW w:w="14901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57"/>
        <w:gridCol w:w="567"/>
        <w:gridCol w:w="2972"/>
        <w:gridCol w:w="6950"/>
        <w:gridCol w:w="1493"/>
      </w:tblGrid>
      <w:tr w:rsidR="00332A58" w:rsidRPr="006E3A6E" w:rsidTr="00653F4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332A58" w:rsidRPr="006E3A6E" w:rsidTr="00653F48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tabs>
                <w:tab w:val="left" w:pos="45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медицинской техники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A58" w:rsidRPr="006E3A6E" w:rsidTr="00653F48">
        <w:trPr>
          <w:trHeight w:val="61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</w:t>
            </w:r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комплектующего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332A58" w:rsidRPr="006E3A6E" w:rsidTr="00653F48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комплектующие:</w:t>
            </w:r>
          </w:p>
        </w:tc>
      </w:tr>
      <w:tr w:rsidR="00332A58" w:rsidRPr="006E3A6E" w:rsidTr="00653F48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Гинекологическое кресло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используется для проведения осмотров в акушерской и гинекологической, урологической практике, при необходимости может использоваться как операционный стол. Область применения: гинекология, акушерство, урология.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 w:rsidR="00374EC6" w:rsidRPr="00374EC6">
              <w:rPr>
                <w:rFonts w:ascii="Times New Roman" w:hAnsi="Times New Roman" w:cs="Times New Roman"/>
                <w:sz w:val="20"/>
                <w:szCs w:val="20"/>
              </w:rPr>
              <w:t>гидравл</w:t>
            </w:r>
            <w:r w:rsidR="00374E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ческое управление.</w:t>
            </w:r>
          </w:p>
          <w:p w:rsidR="00374EC6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Встроенная система автоматического управления положениями кресла. Особенностями является большее количество позиций для обследования. Мягко поднимается и опускается,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легок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эксплуатации. Широкий спектр дополнительных принадлежностей. Мягкое покрытие кресла из полимерного синтетического материала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биэластик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Для секции сиденья предусмотрен рулон гигиенической подкладочной бумаги. Детали являются заменяемыми. </w:t>
            </w:r>
          </w:p>
          <w:p w:rsidR="00374EC6" w:rsidRPr="00374EC6" w:rsidRDefault="00374EC6" w:rsidP="00374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EC6">
              <w:rPr>
                <w:rFonts w:ascii="Times New Roman" w:hAnsi="Times New Roman" w:cs="Times New Roman"/>
                <w:sz w:val="20"/>
                <w:szCs w:val="20"/>
              </w:rPr>
              <w:t xml:space="preserve">Может быть </w:t>
            </w:r>
            <w:proofErr w:type="gramStart"/>
            <w:r w:rsidRPr="00374EC6">
              <w:rPr>
                <w:rFonts w:ascii="Times New Roman" w:hAnsi="Times New Roman" w:cs="Times New Roman"/>
                <w:sz w:val="20"/>
                <w:szCs w:val="20"/>
              </w:rPr>
              <w:t>урегули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любым углом и высотой.</w:t>
            </w:r>
          </w:p>
          <w:p w:rsidR="00374EC6" w:rsidRDefault="00374EC6" w:rsidP="00374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6" w:rsidRDefault="00374EC6" w:rsidP="00374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EC6">
              <w:rPr>
                <w:rFonts w:ascii="Times New Roman" w:hAnsi="Times New Roman" w:cs="Times New Roman"/>
                <w:sz w:val="20"/>
                <w:szCs w:val="20"/>
              </w:rPr>
              <w:t>Технические данные: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 не менее: Д 1124 х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734 х Высота 1013 (макс) - 688 (мин) мм.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Размеры сиденья: от Ш 666 до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1000 мм.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Наклон спинной секции: от -10 до 50°.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Наклон сиденья: от 0 до 30°.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Механизм: </w:t>
            </w:r>
            <w:r w:rsidR="00374EC6">
              <w:rPr>
                <w:rFonts w:ascii="Times New Roman" w:hAnsi="Times New Roman" w:cs="Times New Roman"/>
                <w:sz w:val="20"/>
                <w:szCs w:val="20"/>
              </w:rPr>
              <w:t>гидравлический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Вес, не менее: 150 кг (с принадлежностями).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пациента, не более 180 кг.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Материалы: металл, пластик, композитный материал.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Облицовка: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биэластик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дышащий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с антибактериальным покрытием.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Наполнение: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не мене 25*45.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-Боковые рейки.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Выполнены из нержавеющей стали, используются для крепления опор для рук.</w:t>
            </w:r>
            <w:proofErr w:type="gramEnd"/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Материал: медицинская сталь.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Размеры, не менее: 420*30мм – 1 комплект (Наличие);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-Кронштейн занавески. Используется для занавески при осмотрах.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Кронштейн для ширмы: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Материал: медицинская сталь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Размеры, не менее: 600*600 – 1 шт. (Наличие);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-Чашка для ваты. Используется для хранения дисков, ваты.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Материал: медицинская сталь.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Размеры, не менее: 90*90 – 1 шт. (Наличие);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-Банка для щипцов. Используется для хранения инструментов.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Материал: медицинская сталь.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Размеры, не менее: 60*90 – 1 шт. (Наличие);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Класс безопасности: класс 1 – с низкой степенью риска.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bookmarkEnd w:id="0"/>
      <w:tr w:rsidR="00332A58" w:rsidRPr="006E3A6E" w:rsidTr="00653F48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Дополнительные комплектующие:</w:t>
            </w:r>
          </w:p>
        </w:tc>
      </w:tr>
      <w:tr w:rsidR="006E3A6E" w:rsidRPr="006E3A6E" w:rsidTr="00FE7AF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Опора для рук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Предназначены</w:t>
            </w:r>
            <w:proofErr w:type="gram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для клиентов помогают им сохранять позицию на кресле.</w:t>
            </w: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br/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Материалы: металл </w:t>
            </w: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br/>
              <w:t>Размеры</w:t>
            </w:r>
            <w:r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, не менее</w:t>
            </w: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: 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390*140*70мм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6E3A6E" w:rsidRPr="006E3A6E" w:rsidTr="00FE7AF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Гидравлический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подьемник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Педальный гидравлический механизм с усилием</w:t>
            </w:r>
            <w:r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не менее </w:t>
            </w: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6000Н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6E3A6E" w:rsidRPr="006E3A6E" w:rsidTr="00FE7AF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Подколенник (опора для ног)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Обеспечивают безопасное и удобное расположение ног пациента при проведении операций.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Материал: металл, пластик, кожа 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br/>
              <w:t>Размеры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менее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: 260*200*150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1 комплект  </w:t>
            </w:r>
          </w:p>
        </w:tc>
      </w:tr>
      <w:tr w:rsidR="006E3A6E" w:rsidRPr="006E3A6E" w:rsidTr="00FE7AF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Лоток (для сбора жидкости)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Предназначено для сбора и последующей утилизации секрета, фрагментов и отходов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имн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Основа поддона металл </w:t>
            </w:r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 xml:space="preserve">Обшивка пластиковая, </w:t>
            </w:r>
            <w:proofErr w:type="spellStart"/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антиударная</w:t>
            </w:r>
            <w:proofErr w:type="spellEnd"/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высокого качества </w:t>
            </w:r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Размеры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не менее</w:t>
            </w:r>
            <w:r w:rsidRPr="006E3A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370*270*80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6E3A6E" w:rsidRPr="006E3A6E" w:rsidTr="00942367">
        <w:trPr>
          <w:trHeight w:val="75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Штатив для вливаний</w:t>
            </w:r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Покрытый хромированным цветом штатив исполнен в виде трубы с крючками для подвешивания растворов. Имеет возможность установки как слева, так и справа.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A58" w:rsidRPr="006E3A6E" w:rsidTr="00653F48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Хорошо вентилируемое помещение,</w:t>
            </w:r>
          </w:p>
          <w:p w:rsidR="00332A58" w:rsidRPr="006E3A6E" w:rsidRDefault="00332A58" w:rsidP="006E3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Температура: -10 ~ 30°С.</w:t>
            </w:r>
          </w:p>
        </w:tc>
      </w:tr>
      <w:tr w:rsidR="00332A58" w:rsidRPr="006E3A6E" w:rsidTr="00653F48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осуществления поставки</w:t>
            </w: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медицинской техники (в соответствии с ИНКОТЕРМС 2020)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DDP пункт назначения</w:t>
            </w:r>
          </w:p>
        </w:tc>
      </w:tr>
      <w:tr w:rsidR="00332A58" w:rsidRPr="006E3A6E" w:rsidTr="00653F48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 медицинской техники и</w:t>
            </w:r>
          </w:p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дислокации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До 20.12.2023 г.</w:t>
            </w:r>
          </w:p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Адрес:</w:t>
            </w:r>
            <w:r w:rsidR="009230D4" w:rsidRPr="006E3A6E">
              <w:rPr>
                <w:sz w:val="20"/>
                <w:szCs w:val="20"/>
              </w:rPr>
              <w:t xml:space="preserve"> </w:t>
            </w:r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область Абай, </w:t>
            </w:r>
            <w:proofErr w:type="spellStart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Жарминский</w:t>
            </w:r>
            <w:proofErr w:type="spellEnd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  <w:proofErr w:type="spellStart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proofErr w:type="gramStart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.К</w:t>
            </w:r>
            <w:proofErr w:type="gramEnd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албатау</w:t>
            </w:r>
            <w:proofErr w:type="spellEnd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Мустанбаева</w:t>
            </w:r>
            <w:proofErr w:type="spellEnd"/>
            <w:r w:rsidR="009230D4"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108</w:t>
            </w:r>
          </w:p>
        </w:tc>
      </w:tr>
      <w:tr w:rsidR="00332A58" w:rsidRPr="006E3A6E" w:rsidTr="00653F48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гарантийного сервисного обслуживания </w:t>
            </w: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Гарантийное сервисное обслуживание медицинской техники не менее 37 месяцев.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</w:t>
            </w:r>
            <w:r w:rsidRPr="006E3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включать в себя: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-узловой разборкой);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332A58" w:rsidRPr="006E3A6E" w:rsidTr="00653F48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сервис-коды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доступа к программному обеспечению товара.</w:t>
            </w:r>
          </w:p>
          <w:p w:rsidR="00332A58" w:rsidRPr="006E3A6E" w:rsidRDefault="00332A58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9230D4" w:rsidRPr="006E3A6E" w:rsidRDefault="00D47250" w:rsidP="006E3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230D4" w:rsidRPr="006E3A6E" w:rsidRDefault="009230D4" w:rsidP="006E3A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sz w:val="20"/>
          <w:szCs w:val="20"/>
          <w:lang w:val="kk-KZ"/>
        </w:rPr>
        <w:br w:type="page"/>
      </w:r>
    </w:p>
    <w:p w:rsidR="009230D4" w:rsidRPr="006E3A6E" w:rsidRDefault="009230D4" w:rsidP="006E3A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sz w:val="20"/>
          <w:szCs w:val="20"/>
          <w:lang w:val="kk-KZ"/>
        </w:rPr>
        <w:lastRenderedPageBreak/>
        <w:t>2 қосымша</w:t>
      </w:r>
    </w:p>
    <w:p w:rsidR="009230D4" w:rsidRPr="006E3A6E" w:rsidRDefault="009230D4" w:rsidP="006E3A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sz w:val="20"/>
          <w:szCs w:val="20"/>
          <w:lang w:val="kk-KZ"/>
        </w:rPr>
        <w:t>тендерлік құжаттамаға</w:t>
      </w: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b/>
          <w:sz w:val="20"/>
          <w:szCs w:val="20"/>
          <w:lang w:val="kk-KZ"/>
        </w:rPr>
        <w:t>Техникалық сипаттама</w:t>
      </w: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b/>
          <w:sz w:val="20"/>
          <w:szCs w:val="20"/>
          <w:lang w:val="kk-KZ"/>
        </w:rPr>
        <w:t>2023 жылға арналған медициналық жабдықты сатып алуға арналған қайта тендерге"</w:t>
      </w: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A6E">
        <w:rPr>
          <w:rFonts w:ascii="Times New Roman" w:hAnsi="Times New Roman" w:cs="Times New Roman"/>
          <w:b/>
          <w:sz w:val="20"/>
          <w:szCs w:val="20"/>
        </w:rPr>
        <w:t>№ 1 Лот</w:t>
      </w:r>
    </w:p>
    <w:p w:rsidR="009230D4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6E3A6E">
        <w:rPr>
          <w:rFonts w:ascii="Times New Roman" w:hAnsi="Times New Roman" w:cs="Times New Roman"/>
          <w:b/>
          <w:sz w:val="20"/>
          <w:szCs w:val="20"/>
        </w:rPr>
        <w:t>Гинекологиялық</w:t>
      </w:r>
      <w:proofErr w:type="spellEnd"/>
      <w:r w:rsidRPr="006E3A6E">
        <w:rPr>
          <w:rFonts w:ascii="Times New Roman" w:hAnsi="Times New Roman" w:cs="Times New Roman"/>
          <w:b/>
          <w:sz w:val="20"/>
          <w:szCs w:val="20"/>
        </w:rPr>
        <w:t xml:space="preserve"> Кресло</w:t>
      </w:r>
    </w:p>
    <w:tbl>
      <w:tblPr>
        <w:tblW w:w="14901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57"/>
        <w:gridCol w:w="567"/>
        <w:gridCol w:w="2972"/>
        <w:gridCol w:w="6950"/>
        <w:gridCol w:w="1493"/>
      </w:tblGrid>
      <w:tr w:rsidR="009230D4" w:rsidRPr="006E3A6E" w:rsidTr="009230D4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Сипаттама</w:t>
            </w:r>
            <w:proofErr w:type="spellEnd"/>
          </w:p>
        </w:tc>
      </w:tr>
      <w:tr w:rsidR="009230D4" w:rsidRPr="006E3A6E" w:rsidTr="009230D4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tabs>
                <w:tab w:val="left" w:pos="45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техниканың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30D4" w:rsidRPr="006E3A6E" w:rsidTr="009230D4">
        <w:trPr>
          <w:trHeight w:val="61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Жинақ</w:t>
            </w:r>
            <w:proofErr w:type="gram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тау</w:t>
            </w:r>
            <w:proofErr w:type="gram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қойылатын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техника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жинақтауыштың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техника</w:t>
            </w:r>
            <w:proofErr w:type="gram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жинақтауыштың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Қажетті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мөлшер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өлшем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бірлігін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көрсете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9230D4" w:rsidRPr="006E3A6E" w:rsidTr="009230D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Негізгі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компоненттер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9230D4" w:rsidRPr="006E3A6E" w:rsidTr="009230D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Гинекологиялық</w:t>
            </w:r>
            <w:proofErr w:type="spellEnd"/>
            <w:r w:rsidRPr="006E3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z w:val="20"/>
                <w:szCs w:val="20"/>
              </w:rPr>
              <w:t>орындық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Гинекологиялық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кресло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Акушерлік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гинекологиялық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урологиялық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тәжірибеде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тексерулер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пайдаланылады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операциялық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пайдалану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Қолдану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саласы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гинекология,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акушерлік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, урология.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Электр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басқаруы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бар.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Кі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іктірілген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орындық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позициясын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автоматты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басқару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жүйесі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Ерекшеліктер-зерттеуге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позициялардың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көп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саны.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Жұмсақ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көтеріледі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төмендейді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пайдалану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оңай</w:t>
            </w:r>
            <w:proofErr w:type="spellEnd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сымша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керек-жарақтардың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ауқымы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Полимерлі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синтетикалық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материалдан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жасалған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жұмсақ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орындық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жабыны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биэластикалық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Орындық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бөлімі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санитарлы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орамы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бар.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өлшектер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ауыстырылады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операциялық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үстел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пайдалану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Кез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келген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бұрыш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пен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биіктікте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реттеуге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деректер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Қуат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АС 220В, 50 / 60ГЦ.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Тұтыну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қуаты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кемінде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400ВА.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Қозғалтқыштың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шығыс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кернеуі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кемінде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24V.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Жиіл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ігі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кемінде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50/60Гц.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Номиналды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қыт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шамамен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1 минут.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Кернеу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220В.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Ток,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3.0 А.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Қызып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кетуден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қорғ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ау</w:t>
            </w:r>
            <w:proofErr w:type="spellEnd"/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артық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110°с.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Шу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деңгейі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артық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45дБ.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Габариттік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кемінде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Д 1124 х 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734 х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биіктігі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1013 (макс) - 688 (мин) ММ.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Орындық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W 666-дан D 1000 мм-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ге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Дорсальды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бө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іктің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көлбеуі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-10-дан 50° -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Орындықтың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көлбеуі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0-ден 30° -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Механизм: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электрлік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Салмағы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дегенде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 150 кг (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керек-жарақтармен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Науқастың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максималды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салмағы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, 180 кг-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нан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аспайды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Материалдар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металл, пластик,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композициялық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материал.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Қаптау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Бактерия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жабыны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дем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алатын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биэластик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Толтыру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тығыздығы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кемінде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25*45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полиуретанды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өбік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үйірлік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рельстер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Тот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баспайтын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болаттан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жасалған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тіректерін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қолданылады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420*30мм - 1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жиынтық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Перде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кронштейні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Тексеру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перде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қолданылады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Экран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кронштейні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Болат</w:t>
            </w:r>
            <w:proofErr w:type="spellEnd"/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600*600 – 1 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дана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Мақта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шыныаяқ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Дискілерді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мақтаны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қолданылады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90*90 – 1 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дана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Қысқышқа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Банка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Құ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алдарды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қолданылады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Материал: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медициналық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Болат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Өлшемдері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, кем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60*90 – 1 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дана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9230D4" w:rsidRPr="006E3A6E" w:rsidRDefault="009230D4" w:rsidP="006E3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Қ</w:t>
            </w:r>
            <w:proofErr w:type="gram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ау</w:t>
            </w:r>
            <w:proofErr w:type="gram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іпсіздік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класы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: 1 –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сынып-тәуекел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дәрежесі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6E3A6E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дана</w:t>
            </w:r>
          </w:p>
        </w:tc>
      </w:tr>
      <w:tr w:rsidR="009230D4" w:rsidRPr="006E3A6E" w:rsidTr="009230D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Қосымша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компоненттер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6E3A6E" w:rsidRPr="006E3A6E" w:rsidTr="00B4583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тірегі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Клиенттерге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арналған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олар</w:t>
            </w:r>
            <w:proofErr w:type="gram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орындықта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позициясын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сақтауға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көмектеседі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.</w:t>
            </w:r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Материалдар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: металл</w:t>
            </w:r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Өлшемдері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, кем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емес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: 390*140 * 70мм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7E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6E3A6E" w:rsidRPr="006E3A6E" w:rsidTr="00B4583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Гидравликалық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көтергіш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Кем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дегенде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6000н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күшпен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педальды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>гидравликалық</w:t>
            </w:r>
            <w:proofErr w:type="spellEnd"/>
            <w:r w:rsidRPr="006E3A6E">
              <w:rPr>
                <w:rFonts w:ascii="Times New Roman" w:hAnsi="Times New Roman" w:cs="Times New Roman"/>
                <w:bCs/>
                <w:spacing w:val="1"/>
                <w:position w:val="1"/>
                <w:sz w:val="20"/>
                <w:szCs w:val="20"/>
              </w:rPr>
              <w:t xml:space="preserve"> механизм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дана</w:t>
            </w:r>
          </w:p>
        </w:tc>
      </w:tr>
      <w:tr w:rsidR="006E3A6E" w:rsidRPr="006E3A6E" w:rsidTr="00B4583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Поплиталь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аяқ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тірегі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Операция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науқастың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аяқтарының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іпсіз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ыңғайлы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орналасуын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етіңіз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металл, пластик,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былғары</w:t>
            </w:r>
            <w:proofErr w:type="spellEnd"/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кем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: 260*200*150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7E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6E3A6E" w:rsidRPr="006E3A6E" w:rsidTr="00B45834">
        <w:trPr>
          <w:trHeight w:val="1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Науа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сұйықтық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жинау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ММБ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құпиясын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фрагменттері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жинау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кейіннен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кәдеге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жаратуға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A6E" w:rsidRPr="006E3A6E" w:rsidRDefault="006E3A6E" w:rsidP="006E3A6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Табаның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негізі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</w:p>
          <w:p w:rsidR="006E3A6E" w:rsidRPr="006E3A6E" w:rsidRDefault="006E3A6E" w:rsidP="006E3A6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Пластмассадан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қаптама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соққ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</w:p>
          <w:p w:rsidR="006E3A6E" w:rsidRPr="006E3A6E" w:rsidRDefault="006E3A6E" w:rsidP="006E3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кем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: 370*270*80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дана</w:t>
            </w:r>
          </w:p>
          <w:p w:rsidR="006E3A6E" w:rsidRPr="006E3A6E" w:rsidRDefault="006E3A6E" w:rsidP="007E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A6E" w:rsidRPr="006E3A6E" w:rsidTr="00792EF3">
        <w:trPr>
          <w:trHeight w:val="7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A6E" w:rsidRPr="006E3A6E" w:rsidRDefault="006E3A6E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E" w:rsidRPr="006E3A6E" w:rsidRDefault="006E3A6E" w:rsidP="007E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Инфузияға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Штатив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6E" w:rsidRPr="006E3A6E" w:rsidRDefault="006E3A6E" w:rsidP="007E36E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Хроммен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қапталған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штатив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ерітінділерді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ілу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ілмектері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құбыр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інде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да,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оңға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бар.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6E" w:rsidRPr="006E3A6E" w:rsidRDefault="006E3A6E" w:rsidP="007E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дана</w:t>
            </w:r>
          </w:p>
          <w:p w:rsidR="006E3A6E" w:rsidRPr="006E3A6E" w:rsidRDefault="006E3A6E" w:rsidP="007E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0D4" w:rsidRPr="006E3A6E" w:rsidTr="009230D4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Пайдалану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шарттарына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қойылатын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желдетілеті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өлме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30D4" w:rsidRPr="006E3A6E" w:rsidRDefault="009230D4" w:rsidP="006E3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Температура: -10 ~ 30°C.</w:t>
            </w:r>
          </w:p>
        </w:tc>
      </w:tr>
      <w:tr w:rsidR="009230D4" w:rsidRPr="006E3A6E" w:rsidTr="009230D4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Жеткі</w:t>
            </w:r>
            <w:proofErr w:type="gram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зуді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үзеге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асыру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шарттары</w:t>
            </w:r>
            <w:proofErr w:type="spellEnd"/>
          </w:p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техника (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сәйкес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ИНКОТЕРМС 2020)</w:t>
            </w:r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DDP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баратын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жер</w:t>
            </w:r>
            <w:proofErr w:type="spellEnd"/>
          </w:p>
        </w:tc>
      </w:tr>
      <w:tr w:rsidR="009230D4" w:rsidRPr="006E3A6E" w:rsidTr="009230D4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техниканы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жеткізу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мерзі</w:t>
            </w:r>
            <w:proofErr w:type="gram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</w:p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орналасқан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жері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20.12.2023 ж.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дейін</w:t>
            </w:r>
            <w:proofErr w:type="spellEnd"/>
          </w:p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Мекен-жайы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Абай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облысы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Жарма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ауданы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Қалбатау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ауылы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Мұстанбаева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108</w:t>
            </w:r>
          </w:p>
        </w:tc>
      </w:tr>
      <w:tr w:rsidR="009230D4" w:rsidRPr="006E3A6E" w:rsidTr="009230D4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Өнім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оның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Республикасындағы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сервистік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орталықтарының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үшінші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құзыретті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тұлғаларды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тарта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</w:t>
            </w:r>
            <w:proofErr w:type="gram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кепілдік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беретін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сервистік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көрсету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кепілдік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37 ай.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тоқсанына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жүргізілуі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жұмыстары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орындалады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мыналарды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қамтуы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істеген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құрамдас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бө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іктерді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ауыстыру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жекелеген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бө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іктерін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ауыстыру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техниканы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баптау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реттеу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; осы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тән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жұмыстар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т. б.;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майлау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механизмдер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тораптарды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іктеу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техника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корпусының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құрамдас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бөліктерінің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беттерінен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шаңды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кірді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коррозия мен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тотығу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іздерін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кетір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ішінара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блокты-тораптық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бөлшектеумен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құжаттамасында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тән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өзге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операциялар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30D4" w:rsidRPr="006E3A6E" w:rsidTr="009230D4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Ілеспе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қызметтерге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қойылатын</w:t>
            </w:r>
            <w:proofErr w:type="spellEnd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тілдеріне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аудара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жиынтығымен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жабдықталады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Тауарларды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заңнамасына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сипаттамаларын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кестенің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тармағы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жиынтықты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сипатталады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сипаттамада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өзгеше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көрсетілмесе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адаптерлерсіз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трансформаторларсыз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220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вольтты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қуаты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орнатылған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ғдарламалық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жасақтамасымен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аспаптармен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бірге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жеткізілетін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жасақтама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Жеткізуші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білікті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мамандардың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процесін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сүйемелдеуін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етілуі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сервис-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кодтарды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0D4" w:rsidRPr="006E3A6E" w:rsidRDefault="009230D4" w:rsidP="006E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Өлшеу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жататын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өлшеу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құралдарының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тізіліміне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енгізілуге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орнатқанға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40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қырық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күннен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кешіктірмей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сә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инсталляция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алдындағы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хабарлайды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Үй-жайдың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инсталляцияға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дайындығымен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күрделі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монтаждау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жұмыстарын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жүргізуді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көздемейтін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есіктердің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ойықтарына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өтетін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габариттері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80 сантиметр,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200 сантиметр)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жеткізуді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жабдықты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түсіруді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орауды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орнатуды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баптауды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қосуды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сипаттамаларының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құжатқа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фирманың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спецификациясына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дәлдігі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сезімталдығы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өнімділігі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басқалары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сәйкестігін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тексеруді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аппликациялық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тренинг)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персоналды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құжатты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көрсетудің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базалық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деңгейіне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оқытуды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берушіні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тарта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штатта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өндірушінің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тиі</w:t>
            </w:r>
            <w:proofErr w:type="gram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мамандары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қызметкерлері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болмаған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6E3A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A2970" w:rsidRPr="006E3A6E" w:rsidRDefault="009230D4" w:rsidP="006E3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3A6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7A2970" w:rsidRPr="006E3A6E" w:rsidSect="00CA0B37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89"/>
    <w:rsid w:val="000951C9"/>
    <w:rsid w:val="00332A58"/>
    <w:rsid w:val="00374EC6"/>
    <w:rsid w:val="003A318D"/>
    <w:rsid w:val="003B7C50"/>
    <w:rsid w:val="003E69B0"/>
    <w:rsid w:val="00653F48"/>
    <w:rsid w:val="006E3A6E"/>
    <w:rsid w:val="007274A9"/>
    <w:rsid w:val="007A2970"/>
    <w:rsid w:val="008714BA"/>
    <w:rsid w:val="009230D4"/>
    <w:rsid w:val="00A918CB"/>
    <w:rsid w:val="00AE260C"/>
    <w:rsid w:val="00B274CA"/>
    <w:rsid w:val="00B42DA8"/>
    <w:rsid w:val="00C350A0"/>
    <w:rsid w:val="00CA0B37"/>
    <w:rsid w:val="00D47250"/>
    <w:rsid w:val="00DD3C12"/>
    <w:rsid w:val="00E45489"/>
    <w:rsid w:val="00F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7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37"/>
    <w:pPr>
      <w:ind w:left="720"/>
      <w:contextualSpacing/>
    </w:pPr>
    <w:rPr>
      <w:rFonts w:cs="Times New Roman"/>
    </w:rPr>
  </w:style>
  <w:style w:type="character" w:customStyle="1" w:styleId="tlid-translation">
    <w:name w:val="tlid-translation"/>
    <w:rsid w:val="00CA0B37"/>
  </w:style>
  <w:style w:type="character" w:styleId="a4">
    <w:name w:val="Hyperlink"/>
    <w:uiPriority w:val="99"/>
    <w:unhideWhenUsed/>
    <w:rsid w:val="00CA0B37"/>
    <w:rPr>
      <w:color w:val="0000FF"/>
      <w:u w:val="single"/>
    </w:rPr>
  </w:style>
  <w:style w:type="paragraph" w:styleId="a5">
    <w:name w:val="No Spacing"/>
    <w:link w:val="a6"/>
    <w:uiPriority w:val="1"/>
    <w:qFormat/>
    <w:rsid w:val="00D4725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D47250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23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0D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word">
    <w:name w:val="translation-word"/>
    <w:basedOn w:val="a0"/>
    <w:rsid w:val="0092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7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37"/>
    <w:pPr>
      <w:ind w:left="720"/>
      <w:contextualSpacing/>
    </w:pPr>
    <w:rPr>
      <w:rFonts w:cs="Times New Roman"/>
    </w:rPr>
  </w:style>
  <w:style w:type="character" w:customStyle="1" w:styleId="tlid-translation">
    <w:name w:val="tlid-translation"/>
    <w:rsid w:val="00CA0B37"/>
  </w:style>
  <w:style w:type="character" w:styleId="a4">
    <w:name w:val="Hyperlink"/>
    <w:uiPriority w:val="99"/>
    <w:unhideWhenUsed/>
    <w:rsid w:val="00CA0B37"/>
    <w:rPr>
      <w:color w:val="0000FF"/>
      <w:u w:val="single"/>
    </w:rPr>
  </w:style>
  <w:style w:type="paragraph" w:styleId="a5">
    <w:name w:val="No Spacing"/>
    <w:link w:val="a6"/>
    <w:uiPriority w:val="1"/>
    <w:qFormat/>
    <w:rsid w:val="00D4725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D47250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23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0D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word">
    <w:name w:val="translation-word"/>
    <w:basedOn w:val="a0"/>
    <w:rsid w:val="0092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1FB1-3833-470E-9596-B5840F09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77775414968</cp:lastModifiedBy>
  <cp:revision>14</cp:revision>
  <dcterms:created xsi:type="dcterms:W3CDTF">2023-08-23T08:34:00Z</dcterms:created>
  <dcterms:modified xsi:type="dcterms:W3CDTF">2023-11-27T06:53:00Z</dcterms:modified>
</cp:coreProperties>
</file>